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273B68" w:rsidRPr="00273B68" w:rsidRDefault="00273B68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>орядк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выплаты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>собственниками</w:t>
      </w:r>
    </w:p>
    <w:p w:rsidR="00273B68" w:rsidRPr="00273B68" w:rsidRDefault="00604D4D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помещений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в  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многоквартирном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доме  средств  на</w:t>
      </w:r>
    </w:p>
    <w:p w:rsidR="00273B68" w:rsidRPr="00273B68" w:rsidRDefault="00604D4D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долевое 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финансирование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капитального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ремонта</w:t>
      </w:r>
    </w:p>
    <w:p w:rsidR="00604D4D" w:rsidRPr="00273B68" w:rsidRDefault="00604D4D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многоквартирного 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дома</w:t>
      </w:r>
    </w:p>
    <w:p w:rsidR="00273B68" w:rsidRPr="00273B68" w:rsidRDefault="00273B68" w:rsidP="00273B68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3B68" w:rsidRPr="00273B68" w:rsidRDefault="00273B68" w:rsidP="00273B68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D4D" w:rsidRPr="00273B68" w:rsidRDefault="00604D4D" w:rsidP="00604D4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В целях реализации Федерального закона от 21.07.2007 № 185-ФЗ 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br/>
        <w:t xml:space="preserve">«О фонде содействия реформированию жилищно-коммунального хозяйства» и обеспечения долевого финансирования капитального ремонта многоквартирных домов, включенных в </w:t>
      </w:r>
      <w:r w:rsidR="00273B68" w:rsidRPr="00273B6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>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на 2014 год, утвержденный постановлением администрации городского округа ЗАТО Светлый от 23.05.2014 № 123, руководствуясь статьями 14, 158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273B6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>ородской округ ЗАТО Светлый</w:t>
      </w:r>
      <w:r w:rsidR="004858ED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области,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городского округа ЗАТО Светлый ПОСТАНОВЛЯЕТ:</w:t>
      </w:r>
    </w:p>
    <w:p w:rsidR="00604D4D" w:rsidRPr="00273B68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color w:val="auto"/>
          <w:sz w:val="28"/>
          <w:szCs w:val="28"/>
        </w:rPr>
        <w:t>1. Утвердит</w:t>
      </w:r>
      <w:r w:rsidR="004858ED">
        <w:rPr>
          <w:rFonts w:ascii="Times New Roman" w:hAnsi="Times New Roman" w:cs="Times New Roman"/>
          <w:color w:val="auto"/>
          <w:sz w:val="28"/>
          <w:szCs w:val="28"/>
        </w:rPr>
        <w:t>ь П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>оряд</w:t>
      </w:r>
      <w:r w:rsidR="004858E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к выплаты собственниками помещений в многоквартирном доме средств на долевое финансирование капитального ремонта многоквартирного дома </w:t>
      </w:r>
      <w:r w:rsidR="00DC0198" w:rsidRPr="00273B68">
        <w:rPr>
          <w:rFonts w:ascii="Times New Roman" w:hAnsi="Times New Roman" w:cs="Times New Roman"/>
          <w:color w:val="auto"/>
          <w:sz w:val="28"/>
          <w:szCs w:val="28"/>
        </w:rPr>
        <w:t>согласно приложению.</w:t>
      </w:r>
    </w:p>
    <w:p w:rsidR="00EF2167" w:rsidRDefault="00EF2167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604D4D" w:rsidRPr="00273B68" w:rsidRDefault="00EF2167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04D4D"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настоящее постановление в газете городского округа ЗАТО Светлый «Светлые вести» и разместить </w:t>
      </w:r>
      <w:r w:rsidR="009F07EC">
        <w:rPr>
          <w:rFonts w:ascii="Times New Roman" w:hAnsi="Times New Roman" w:cs="Times New Roman"/>
          <w:color w:val="auto"/>
          <w:sz w:val="28"/>
          <w:szCs w:val="28"/>
        </w:rPr>
        <w:t xml:space="preserve">(обнародовать) </w:t>
      </w:r>
      <w:r w:rsidR="00604D4D"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604D4D" w:rsidRPr="00273B68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="00604D4D"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Интернет.</w:t>
      </w:r>
    </w:p>
    <w:p w:rsidR="00D641F4" w:rsidRPr="00273B68" w:rsidRDefault="00D641F4" w:rsidP="00D641F4">
      <w:pPr>
        <w:jc w:val="both"/>
        <w:rPr>
          <w:sz w:val="28"/>
          <w:szCs w:val="28"/>
        </w:rPr>
      </w:pPr>
    </w:p>
    <w:p w:rsidR="000A1997" w:rsidRPr="00273B68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273B6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273B6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3B68">
        <w:rPr>
          <w:b/>
          <w:sz w:val="28"/>
          <w:szCs w:val="28"/>
        </w:rPr>
        <w:t>Г</w:t>
      </w:r>
      <w:r w:rsidR="002413EE" w:rsidRPr="00273B68">
        <w:rPr>
          <w:b/>
          <w:sz w:val="28"/>
          <w:szCs w:val="28"/>
        </w:rPr>
        <w:t>лав</w:t>
      </w:r>
      <w:r w:rsidRPr="00273B68">
        <w:rPr>
          <w:b/>
          <w:sz w:val="28"/>
          <w:szCs w:val="28"/>
        </w:rPr>
        <w:t>а</w:t>
      </w:r>
      <w:r w:rsidR="002413EE" w:rsidRPr="00273B68">
        <w:rPr>
          <w:b/>
          <w:sz w:val="28"/>
          <w:szCs w:val="28"/>
        </w:rPr>
        <w:t xml:space="preserve"> администрации</w:t>
      </w:r>
    </w:p>
    <w:p w:rsidR="002413EE" w:rsidRPr="00273B68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3B68">
        <w:rPr>
          <w:b/>
          <w:sz w:val="28"/>
          <w:szCs w:val="28"/>
        </w:rPr>
        <w:t>городского о</w:t>
      </w:r>
      <w:r w:rsidR="00CC59FF" w:rsidRPr="00273B68">
        <w:rPr>
          <w:b/>
          <w:sz w:val="28"/>
          <w:szCs w:val="28"/>
        </w:rPr>
        <w:t xml:space="preserve">круга ЗАТО Светлый       </w:t>
      </w:r>
      <w:r w:rsidR="00594890" w:rsidRPr="00273B68">
        <w:rPr>
          <w:b/>
          <w:sz w:val="28"/>
          <w:szCs w:val="28"/>
        </w:rPr>
        <w:t xml:space="preserve">   </w:t>
      </w:r>
      <w:r w:rsidR="00CC59FF" w:rsidRPr="00273B68">
        <w:rPr>
          <w:b/>
          <w:sz w:val="28"/>
          <w:szCs w:val="28"/>
        </w:rPr>
        <w:t xml:space="preserve">   </w:t>
      </w:r>
      <w:r w:rsidR="000130C8" w:rsidRPr="00273B68">
        <w:rPr>
          <w:b/>
          <w:sz w:val="28"/>
          <w:szCs w:val="28"/>
        </w:rPr>
        <w:t xml:space="preserve">   </w:t>
      </w:r>
      <w:r w:rsidR="00594890" w:rsidRPr="00273B68">
        <w:rPr>
          <w:b/>
          <w:sz w:val="28"/>
          <w:szCs w:val="28"/>
        </w:rPr>
        <w:t xml:space="preserve"> </w:t>
      </w:r>
      <w:r w:rsidR="000130C8" w:rsidRPr="00273B68">
        <w:rPr>
          <w:b/>
          <w:sz w:val="28"/>
          <w:szCs w:val="28"/>
        </w:rPr>
        <w:t xml:space="preserve"> </w:t>
      </w:r>
      <w:r w:rsidR="00147FD0" w:rsidRPr="00273B68">
        <w:rPr>
          <w:b/>
          <w:sz w:val="28"/>
          <w:szCs w:val="28"/>
        </w:rPr>
        <w:t xml:space="preserve">               </w:t>
      </w:r>
      <w:r w:rsidR="00594890" w:rsidRPr="00273B68">
        <w:rPr>
          <w:b/>
          <w:sz w:val="28"/>
          <w:szCs w:val="28"/>
        </w:rPr>
        <w:t xml:space="preserve"> </w:t>
      </w:r>
      <w:r w:rsidR="001C5C6E" w:rsidRPr="00273B68">
        <w:rPr>
          <w:b/>
          <w:sz w:val="28"/>
          <w:szCs w:val="28"/>
        </w:rPr>
        <w:t xml:space="preserve">  </w:t>
      </w:r>
      <w:r w:rsidR="000130C8" w:rsidRPr="00273B68">
        <w:rPr>
          <w:b/>
          <w:sz w:val="28"/>
          <w:szCs w:val="28"/>
        </w:rPr>
        <w:t xml:space="preserve">   </w:t>
      </w:r>
      <w:r w:rsidR="00EF5BAD" w:rsidRPr="00273B68">
        <w:rPr>
          <w:b/>
          <w:sz w:val="28"/>
          <w:szCs w:val="28"/>
        </w:rPr>
        <w:t xml:space="preserve">  </w:t>
      </w:r>
      <w:r w:rsidR="0028352A" w:rsidRPr="00273B68">
        <w:rPr>
          <w:b/>
          <w:sz w:val="28"/>
          <w:szCs w:val="28"/>
        </w:rPr>
        <w:t xml:space="preserve"> </w:t>
      </w:r>
      <w:r w:rsidR="00594890" w:rsidRPr="00273B68">
        <w:rPr>
          <w:b/>
          <w:sz w:val="28"/>
          <w:szCs w:val="28"/>
        </w:rPr>
        <w:t xml:space="preserve"> </w:t>
      </w:r>
      <w:r w:rsidR="0028352A" w:rsidRPr="00273B68">
        <w:rPr>
          <w:b/>
          <w:sz w:val="28"/>
          <w:szCs w:val="28"/>
        </w:rPr>
        <w:t xml:space="preserve">   </w:t>
      </w:r>
      <w:r w:rsidR="00CC59FF" w:rsidRPr="00273B68">
        <w:rPr>
          <w:b/>
          <w:sz w:val="28"/>
          <w:szCs w:val="28"/>
        </w:rPr>
        <w:t xml:space="preserve">  </w:t>
      </w:r>
      <w:r w:rsidR="001C5C6E" w:rsidRPr="00273B6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4D4D" w:rsidRPr="009872A6" w:rsidRDefault="00604D4D" w:rsidP="00A1606C">
      <w:pPr>
        <w:pStyle w:val="af3"/>
        <w:spacing w:before="0" w:after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604D4D" w:rsidRPr="009872A6" w:rsidRDefault="00604D4D" w:rsidP="00A1606C">
      <w:pPr>
        <w:pStyle w:val="p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872A6">
        <w:rPr>
          <w:sz w:val="28"/>
          <w:szCs w:val="28"/>
        </w:rPr>
        <w:t>к постановлению администрации</w:t>
      </w:r>
    </w:p>
    <w:p w:rsidR="00604D4D" w:rsidRPr="009872A6" w:rsidRDefault="00604D4D" w:rsidP="00A1606C">
      <w:pPr>
        <w:pStyle w:val="p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872A6">
        <w:rPr>
          <w:sz w:val="28"/>
          <w:szCs w:val="28"/>
        </w:rPr>
        <w:t>городского округа ЗАТО Светлый</w:t>
      </w:r>
    </w:p>
    <w:p w:rsidR="00604D4D" w:rsidRPr="00A1606C" w:rsidRDefault="00A1606C" w:rsidP="00A1606C">
      <w:pPr>
        <w:pStyle w:val="p"/>
        <w:spacing w:before="0" w:beforeAutospacing="0" w:after="0" w:afterAutospacing="0"/>
        <w:ind w:left="5103"/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от </w:t>
      </w:r>
      <w:r w:rsidRPr="00A1606C">
        <w:rPr>
          <w:rFonts w:cs="Tahoma"/>
          <w:bCs/>
          <w:sz w:val="28"/>
          <w:szCs w:val="28"/>
        </w:rPr>
        <w:t>05.08.2014</w:t>
      </w:r>
      <w:r>
        <w:rPr>
          <w:rFonts w:cs="Tahoma"/>
          <w:bCs/>
          <w:sz w:val="28"/>
          <w:szCs w:val="28"/>
        </w:rPr>
        <w:t xml:space="preserve"> № 160</w:t>
      </w:r>
    </w:p>
    <w:p w:rsidR="00604D4D" w:rsidRPr="00A1606C" w:rsidRDefault="00604D4D" w:rsidP="00A1606C">
      <w:pPr>
        <w:pStyle w:val="p"/>
        <w:spacing w:before="0" w:beforeAutospacing="0" w:after="0" w:afterAutospacing="0"/>
        <w:ind w:left="5103"/>
        <w:jc w:val="center"/>
        <w:rPr>
          <w:rFonts w:cs="Tahoma"/>
          <w:bCs/>
          <w:sz w:val="28"/>
          <w:szCs w:val="28"/>
        </w:rPr>
      </w:pPr>
    </w:p>
    <w:p w:rsidR="00604D4D" w:rsidRPr="009872A6" w:rsidRDefault="00604D4D" w:rsidP="00604D4D">
      <w:pPr>
        <w:pStyle w:val="p"/>
        <w:spacing w:before="0" w:beforeAutospacing="0" w:after="0" w:afterAutospacing="0"/>
        <w:jc w:val="center"/>
        <w:rPr>
          <w:rFonts w:cs="Tahoma"/>
          <w:b/>
          <w:bCs/>
          <w:sz w:val="28"/>
          <w:szCs w:val="28"/>
        </w:rPr>
      </w:pPr>
    </w:p>
    <w:p w:rsidR="009872A6" w:rsidRDefault="00604D4D" w:rsidP="00604D4D">
      <w:pPr>
        <w:pStyle w:val="p"/>
        <w:spacing w:before="0" w:beforeAutospacing="0" w:after="0" w:afterAutospacing="0"/>
        <w:jc w:val="center"/>
        <w:rPr>
          <w:rFonts w:cs="Tahoma"/>
          <w:b/>
          <w:bCs/>
          <w:sz w:val="28"/>
          <w:szCs w:val="28"/>
        </w:rPr>
      </w:pPr>
      <w:r w:rsidRPr="009872A6">
        <w:rPr>
          <w:rFonts w:cs="Tahoma"/>
          <w:b/>
          <w:bCs/>
          <w:sz w:val="28"/>
          <w:szCs w:val="28"/>
        </w:rPr>
        <w:t>ПО</w:t>
      </w:r>
      <w:r w:rsidR="009872A6" w:rsidRPr="009872A6">
        <w:rPr>
          <w:rFonts w:cs="Tahoma"/>
          <w:b/>
          <w:bCs/>
          <w:sz w:val="28"/>
          <w:szCs w:val="28"/>
        </w:rPr>
        <w:t>РЯДОК</w:t>
      </w:r>
      <w:r w:rsidR="009872A6">
        <w:rPr>
          <w:rFonts w:cs="Tahoma"/>
          <w:b/>
          <w:bCs/>
          <w:sz w:val="28"/>
          <w:szCs w:val="28"/>
        </w:rPr>
        <w:br/>
      </w:r>
      <w:r w:rsidRPr="009872A6">
        <w:rPr>
          <w:rFonts w:cs="Tahoma"/>
          <w:b/>
          <w:bCs/>
          <w:sz w:val="28"/>
          <w:szCs w:val="28"/>
        </w:rPr>
        <w:t>выплаты собственниками п</w:t>
      </w:r>
      <w:r w:rsidR="009872A6">
        <w:rPr>
          <w:rFonts w:cs="Tahoma"/>
          <w:b/>
          <w:bCs/>
          <w:sz w:val="28"/>
          <w:szCs w:val="28"/>
        </w:rPr>
        <w:t>омещений в многоквартирном доме</w:t>
      </w:r>
    </w:p>
    <w:p w:rsidR="00604D4D" w:rsidRPr="009872A6" w:rsidRDefault="00604D4D" w:rsidP="00604D4D">
      <w:pPr>
        <w:pStyle w:val="p"/>
        <w:spacing w:before="0" w:beforeAutospacing="0" w:after="0" w:afterAutospacing="0"/>
        <w:jc w:val="center"/>
        <w:rPr>
          <w:rFonts w:cs="Tahoma"/>
          <w:sz w:val="28"/>
          <w:szCs w:val="28"/>
        </w:rPr>
      </w:pPr>
      <w:r w:rsidRPr="009872A6">
        <w:rPr>
          <w:rFonts w:cs="Tahoma"/>
          <w:b/>
          <w:bCs/>
          <w:sz w:val="28"/>
          <w:szCs w:val="28"/>
        </w:rPr>
        <w:t>средств на долевое финансирование капитального ремонта</w:t>
      </w:r>
      <w:r w:rsidR="009872A6">
        <w:rPr>
          <w:rFonts w:cs="Tahoma"/>
          <w:b/>
          <w:bCs/>
          <w:sz w:val="28"/>
          <w:szCs w:val="28"/>
        </w:rPr>
        <w:t xml:space="preserve"> </w:t>
      </w:r>
      <w:r w:rsidRPr="009872A6">
        <w:rPr>
          <w:rFonts w:cs="Tahoma"/>
          <w:b/>
          <w:bCs/>
          <w:sz w:val="28"/>
          <w:szCs w:val="28"/>
        </w:rPr>
        <w:t>многоквартирного дома</w:t>
      </w:r>
    </w:p>
    <w:p w:rsidR="00604D4D" w:rsidRPr="009872A6" w:rsidRDefault="00604D4D" w:rsidP="00604D4D">
      <w:pPr>
        <w:pStyle w:val="p"/>
        <w:spacing w:before="0" w:beforeAutospacing="0" w:after="0" w:afterAutospacing="0"/>
        <w:jc w:val="center"/>
        <w:rPr>
          <w:rFonts w:cs="Tahoma"/>
          <w:sz w:val="28"/>
          <w:szCs w:val="28"/>
        </w:rPr>
      </w:pPr>
    </w:p>
    <w:p w:rsidR="00604D4D" w:rsidRDefault="00604D4D" w:rsidP="00604D4D">
      <w:pPr>
        <w:pStyle w:val="p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2A6">
        <w:rPr>
          <w:sz w:val="28"/>
          <w:szCs w:val="28"/>
        </w:rPr>
        <w:t>1.</w:t>
      </w:r>
      <w:r w:rsidRPr="009872A6">
        <w:rPr>
          <w:rStyle w:val="apple-converted-space"/>
          <w:sz w:val="28"/>
          <w:szCs w:val="28"/>
        </w:rPr>
        <w:t xml:space="preserve"> </w:t>
      </w:r>
      <w:r w:rsidRPr="009872A6">
        <w:rPr>
          <w:b/>
          <w:bCs/>
          <w:sz w:val="28"/>
          <w:szCs w:val="28"/>
        </w:rPr>
        <w:t>Общие положения</w:t>
      </w:r>
    </w:p>
    <w:p w:rsidR="009872A6" w:rsidRPr="009872A6" w:rsidRDefault="009872A6" w:rsidP="00604D4D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1.1. Настоящий По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t>рядок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 в соответствии с Федеральным законом от 21.07.2007 № 185-ФЗ «О 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t xml:space="preserve">Фонде содействия реформированию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 хозяйства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(далее – 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t>Федеральный закон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№ 185-ФЗ) и постановлением Правительства Саратовской области от 16.06.2014  № 344-П «Об утверждении Положения о порядке и условиях предоставления государственной поддержки на проведение капитального ремонта общего имущества в многоквартирных домах в форме субсидии бюджетам муниципальных районов, городских округов и поселений области на обеспечение мероприятий по капитальному ремонту многоквартирных домов из областного бюджета, за счет средств, поступивших от государственной корпорации – Фонда содействия реформирования жилищно-коммунального хозяйства, и средств, предусмотренных в областном бюджете на долевое финансирование проведения капитального ремонта многоквартирных домов, расположенных на территории Саратовской области» и 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t>определяет условия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выплаты собственниками помещений в многоквартирном доме средств на долевое финансирование капитального ремонта многоквартирных дом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t>ов, расположенных на территории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ЗАТО Светлый, и включенных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на 2014 год, утвержденный постановлением администрации городского округа ЗАТО Светлый от 23.05.2014 № 123 (далее – Краткосрочный план).</w:t>
      </w:r>
    </w:p>
    <w:p w:rsidR="00604D4D" w:rsidRPr="009872A6" w:rsidRDefault="00604D4D" w:rsidP="00604D4D">
      <w:pPr>
        <w:pStyle w:val="af3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04D4D" w:rsidRPr="009872A6" w:rsidRDefault="00604D4D" w:rsidP="00604D4D">
      <w:pPr>
        <w:pStyle w:val="af3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872A6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2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Цели настоящего </w:t>
      </w:r>
      <w:r w:rsidR="009872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Порядка</w:t>
      </w:r>
    </w:p>
    <w:p w:rsidR="00604D4D" w:rsidRPr="009872A6" w:rsidRDefault="00604D4D" w:rsidP="00604D4D">
      <w:pPr>
        <w:pStyle w:val="af3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2.1. Порядок предусматривается в целях активизации деятельности собственников помещений в многоквартирных 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t>домах по реформированию жилищно-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коммунального хозяйства и обеспечению расходов, связанных с проведением капитального ремонта многоквартирных домов, включенных в Краткосрочный план.</w:t>
      </w:r>
    </w:p>
    <w:p w:rsid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2.2. Установление единых требований к срокам и способам выплаты собственниками помещений в многоквартирном доме средств на долевое</w:t>
      </w:r>
      <w:r w:rsidR="009872A6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9872A6" w:rsidRDefault="009872A6" w:rsidP="009872A6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9872A6" w:rsidRPr="00F44740" w:rsidRDefault="009872A6" w:rsidP="009872A6">
      <w:pPr>
        <w:pStyle w:val="af3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604D4D" w:rsidRPr="009872A6" w:rsidRDefault="00604D4D" w:rsidP="009872A6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финансирование капитального ремонта многоквартирных домов, расположенных на территории городского округа ЗАТО Светлый и включенных в Краткосрочный план.</w:t>
      </w:r>
    </w:p>
    <w:p w:rsidR="00604D4D" w:rsidRPr="00F44740" w:rsidRDefault="00604D4D" w:rsidP="00604D4D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604D4D" w:rsidRPr="009872A6" w:rsidRDefault="00604D4D" w:rsidP="00604D4D">
      <w:pPr>
        <w:pStyle w:val="p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2A6">
        <w:rPr>
          <w:sz w:val="28"/>
          <w:szCs w:val="28"/>
        </w:rPr>
        <w:t>3.</w:t>
      </w:r>
      <w:r w:rsidRPr="009872A6">
        <w:rPr>
          <w:rStyle w:val="apple-converted-space"/>
          <w:sz w:val="28"/>
          <w:szCs w:val="28"/>
        </w:rPr>
        <w:t xml:space="preserve"> </w:t>
      </w:r>
      <w:r w:rsidR="009872A6">
        <w:rPr>
          <w:b/>
          <w:bCs/>
          <w:sz w:val="28"/>
          <w:szCs w:val="28"/>
        </w:rPr>
        <w:t>В</w:t>
      </w:r>
      <w:r w:rsidRPr="009872A6">
        <w:rPr>
          <w:b/>
          <w:bCs/>
          <w:sz w:val="28"/>
          <w:szCs w:val="28"/>
        </w:rPr>
        <w:t>ыплат</w:t>
      </w:r>
      <w:r w:rsidR="009872A6">
        <w:rPr>
          <w:b/>
          <w:bCs/>
          <w:sz w:val="28"/>
          <w:szCs w:val="28"/>
        </w:rPr>
        <w:t>а</w:t>
      </w:r>
      <w:r w:rsidRPr="009872A6">
        <w:rPr>
          <w:b/>
          <w:bCs/>
          <w:sz w:val="28"/>
          <w:szCs w:val="28"/>
        </w:rPr>
        <w:t xml:space="preserve"> собственниками помещений в многоквартирном доме средств на долевое финансирование капитального ремонта многоквартирного дома</w:t>
      </w:r>
    </w:p>
    <w:p w:rsidR="00604D4D" w:rsidRPr="00F44740" w:rsidRDefault="00604D4D" w:rsidP="00604D4D">
      <w:pPr>
        <w:pStyle w:val="p"/>
        <w:spacing w:before="0" w:beforeAutospacing="0" w:after="0" w:afterAutospacing="0"/>
        <w:jc w:val="center"/>
      </w:pPr>
    </w:p>
    <w:p w:rsidR="00604D4D" w:rsidRPr="009872A6" w:rsidRDefault="00604D4D" w:rsidP="00DC0198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3.1. Выплата собственниками помещений в многоквартирном доме средств на долевое финансирование капитального ремонта многоквартирного дома осуществляется на основании решения общего собрания соб</w:t>
      </w:r>
      <w:r w:rsidR="00DC0198" w:rsidRPr="009872A6">
        <w:rPr>
          <w:rFonts w:ascii="Times New Roman" w:hAnsi="Times New Roman" w:cs="Times New Roman"/>
          <w:color w:val="auto"/>
          <w:sz w:val="28"/>
          <w:szCs w:val="28"/>
        </w:rPr>
        <w:t>ственников помещений о долевом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финансировании капитального ремонта многоквартирного дома.</w:t>
      </w:r>
    </w:p>
    <w:p w:rsidR="00604D4D" w:rsidRPr="009872A6" w:rsidRDefault="009872A6" w:rsidP="00DC0198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604D4D"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Обязанность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оплате расходов на капитальный ремонт</w:t>
      </w:r>
      <w:r w:rsidR="00604D4D"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многоквартирного дома распространяется на всех собственников помещений (жилых и нежилых) в этом доме с момента возникновения права собственно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помещения в этом доме.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3.3. Собственники вносят плату на долевое финансирование капитального ремонта многоквартирного дома путем внесения средств на отдельный банковский счет, специально открытый организацией, уполномоченной собственниками помещений в многоквартирных домах на организацию проведения капитального ремонта в соответствии с Федеральным законом № 185-ФЗ (далее – Организация), в сроки, предусмотренные пункт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3.6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3.7 настоящего Порядка.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3.4. Общий объём долевого финансирования капитального ремонта многоквартирного дома за счёт средств собственников помещений  в многоквартирном доме составляет не менее 15 (пятнадцат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процентов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от объёма средств, п</w:t>
      </w:r>
      <w:r w:rsidR="00DC0198" w:rsidRPr="009872A6">
        <w:rPr>
          <w:rFonts w:ascii="Times New Roman" w:hAnsi="Times New Roman" w:cs="Times New Roman"/>
          <w:color w:val="auto"/>
          <w:sz w:val="28"/>
          <w:szCs w:val="28"/>
        </w:rPr>
        <w:t>редоставляемых на проведение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ремонта многоквартирного дома, в соответствии с утверждённой общим 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собранием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собственников помещений в многоква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ртирном доме сметой расходов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на капитальный ремонт многоквартирного дома.</w:t>
      </w:r>
    </w:p>
    <w:p w:rsidR="00604D4D" w:rsidRPr="009872A6" w:rsidRDefault="00604D4D" w:rsidP="00DC0198">
      <w:pPr>
        <w:pStyle w:val="af3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3.5. Сумма платежа каждого собственника помещений  определяется по формуле:</w:t>
      </w:r>
    </w:p>
    <w:p w:rsidR="00604D4D" w:rsidRPr="009872A6" w:rsidRDefault="00604D4D" w:rsidP="00604D4D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604D4D" w:rsidRPr="009872A6" w:rsidRDefault="00604D4D" w:rsidP="00604D4D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 п.с. = С к.р. х</w:t>
      </w:r>
      <w:r w:rsidRPr="009872A6">
        <w:rPr>
          <w:rStyle w:val="apple-converted-space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 </w:t>
      </w: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Sc/So х </w:t>
      </w: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h</w:t>
      </w: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/100</w:t>
      </w:r>
    </w:p>
    <w:p w:rsidR="00604D4D" w:rsidRPr="00F44740" w:rsidRDefault="00604D4D" w:rsidP="00604D4D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604D4D" w:rsidRPr="009872A6" w:rsidRDefault="00604D4D" w:rsidP="00604D4D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где: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 п.с.</w:t>
      </w:r>
      <w:r w:rsidR="00F44740">
        <w:rPr>
          <w:rStyle w:val="apple-converted-space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– сумма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платежа 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с собственника помещения, в рублях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04D4D" w:rsidRPr="009872A6" w:rsidRDefault="00604D4D" w:rsidP="00604D4D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 к.р.</w:t>
      </w:r>
      <w:r w:rsidR="00F4474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– стоимость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ремонта, согласно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утверждённой смете расходов на капитальный ремонт, в рублях;</w:t>
      </w:r>
    </w:p>
    <w:p w:rsidR="00604D4D" w:rsidRPr="009872A6" w:rsidRDefault="00604D4D" w:rsidP="00604D4D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Sc</w:t>
      </w:r>
      <w:r w:rsidR="00F4474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– общая площадь помещения, занимаемого собственником, в кв.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м;</w:t>
      </w:r>
    </w:p>
    <w:p w:rsidR="00604D4D" w:rsidRPr="009872A6" w:rsidRDefault="00604D4D" w:rsidP="00604D4D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So</w:t>
      </w:r>
      <w:r w:rsidR="00F4474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– общая площадь помещений всех форм собственности в  многоквартирном доме, в кв.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м;</w:t>
      </w:r>
    </w:p>
    <w:p w:rsidR="00604D4D" w:rsidRPr="009872A6" w:rsidRDefault="00604D4D" w:rsidP="00604D4D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h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– процент долевого финансирования, утвержденный общим собранием собственников (не менее 15%). </w:t>
      </w:r>
    </w:p>
    <w:p w:rsidR="00DC0198" w:rsidRPr="009872A6" w:rsidRDefault="00F44740" w:rsidP="00F44740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Организация производит расчет суммы платежа по каждому собственнику помещений.</w:t>
      </w:r>
    </w:p>
    <w:p w:rsidR="00604D4D" w:rsidRPr="009872A6" w:rsidRDefault="00604D4D" w:rsidP="00604D4D">
      <w:pPr>
        <w:pStyle w:val="af3"/>
        <w:spacing w:before="0" w:after="0"/>
        <w:ind w:firstLine="720"/>
        <w:jc w:val="center"/>
        <w:rPr>
          <w:rFonts w:ascii="Times New Roman" w:hAnsi="Times New Roman" w:cs="Times New Roman"/>
          <w:color w:val="auto"/>
        </w:rPr>
      </w:pPr>
      <w:r w:rsidRPr="009872A6">
        <w:rPr>
          <w:rFonts w:ascii="Times New Roman" w:hAnsi="Times New Roman" w:cs="Times New Roman"/>
          <w:color w:val="auto"/>
        </w:rPr>
        <w:lastRenderedPageBreak/>
        <w:t>3</w:t>
      </w:r>
    </w:p>
    <w:p w:rsidR="00604D4D" w:rsidRPr="009872A6" w:rsidRDefault="00604D4D" w:rsidP="00604D4D">
      <w:pPr>
        <w:pStyle w:val="af3"/>
        <w:spacing w:before="0" w:after="0"/>
        <w:ind w:firstLine="720"/>
        <w:jc w:val="center"/>
        <w:rPr>
          <w:rFonts w:ascii="Times New Roman" w:hAnsi="Times New Roman" w:cs="Times New Roman"/>
          <w:color w:val="auto"/>
        </w:rPr>
      </w:pP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3.6. Перечисление средств на долевое финансирование капитального ремонта многоквартирного дома осуществляется собственником помещений в многоквартирном доме в 30-дневный срок с момента проведения общего собрания собственников, на котором принято решени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капитального ремонта и заключени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договора (соглашения) с организацией, уполномоченной собственниками помещений в многоквартирных домах на организацию проведения капитального ремонта. Указанные средства долевого финансирования подлежат зачислению на отдельный банковский счёт.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3.7. В случае невозможности внесения собственником помещения оплаты в установленные сроки и в полном объеме собственник помещения вправе обратиться в Организацию</w:t>
      </w:r>
      <w:r w:rsidR="00DC0198"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о возможности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рассрочки платежа (на срок до 1 декабря 2014 года).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3.8. При принятии Организацией решения о предоставлении рассрочки между обратившимся собственником помещения и Организацией заключается договор (соглашение) с указанием сроков и условий предоставления рассрочки.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3.9. При принятии решения, предусмотренного пунктом 3.8. 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настоящего Порядка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, финансирование доли собственников помещений осуществляется Ор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ганизацией за счёт собственных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(резервных), либо заёмных средств (с учетом последующего возмещения собственниками перечисленных за них сумм). Указанные средства долевого финансирования также подлежат зачислению на отдельные банковские счета в 30</w:t>
      </w:r>
      <w:r w:rsidR="00DC0198" w:rsidRPr="009872A6">
        <w:rPr>
          <w:rFonts w:ascii="Times New Roman" w:hAnsi="Times New Roman" w:cs="Times New Roman"/>
          <w:color w:val="auto"/>
          <w:sz w:val="28"/>
          <w:szCs w:val="28"/>
        </w:rPr>
        <w:t>-дневный срок с момента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рассрочки.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3.10. В случае принятия решения о рассрочке платежей собственников поме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щений на долевое финансирование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ремонта многоквартирного до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ма Организация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в течение 30 дней обязана: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уведомить администрацию городского округа ЗАТО Светлый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 о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принятом решени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сроков и условий предоставления рассрочки;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представить в администрацию платёжные документы, подтверждающие перечисление в сроки, предусмотренные пунктом 3.9. настоящего 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на отдельные банковские счета средств;</w:t>
      </w:r>
    </w:p>
    <w:p w:rsidR="00604D4D" w:rsidRPr="009872A6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предоставить в администрацию заверенные копии подписанных соглашений о рассрочке платежей по долевому финансированию капитального ремонта с каждым собственнико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м помещения, принявшего решение о рассрочке платежа.</w:t>
      </w:r>
    </w:p>
    <w:p w:rsidR="00604D4D" w:rsidRPr="009872A6" w:rsidRDefault="00604D4D" w:rsidP="00F44740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2A6">
        <w:rPr>
          <w:rFonts w:ascii="Times New Roman" w:hAnsi="Times New Roman" w:cs="Times New Roman"/>
          <w:color w:val="auto"/>
          <w:sz w:val="28"/>
          <w:szCs w:val="28"/>
        </w:rPr>
        <w:t>3.11. Организация ежемесячно, не позднее 10 числа месяца, следующего за отчётным, обязана предоставлять в администрацию информацию (в соответствии с Приложением) об исполнении условий долевого финансирования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>капитального ремонта многоквартирных домов за счёт средств каждого собственни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ка помещений в размере не менее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15 % от объёма средств, </w:t>
      </w:r>
      <w:r w:rsidR="00F44740">
        <w:rPr>
          <w:rFonts w:ascii="Times New Roman" w:hAnsi="Times New Roman" w:cs="Times New Roman"/>
          <w:color w:val="auto"/>
          <w:sz w:val="28"/>
          <w:szCs w:val="28"/>
        </w:rPr>
        <w:t>предоставляемых на проведение капитального ремонта</w:t>
      </w:r>
      <w:r w:rsidRPr="009872A6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домов.</w:t>
      </w:r>
    </w:p>
    <w:p w:rsidR="00DC0198" w:rsidRDefault="00DC0198" w:rsidP="00604D4D">
      <w:pPr>
        <w:pStyle w:val="af3"/>
        <w:spacing w:before="0" w:after="0"/>
        <w:jc w:val="center"/>
        <w:rPr>
          <w:rFonts w:cs="Tahoma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29"/>
      </w:tblGrid>
      <w:tr w:rsidR="0002713E" w:rsidRPr="0002713E" w:rsidTr="0002713E">
        <w:tc>
          <w:tcPr>
            <w:tcW w:w="4728" w:type="dxa"/>
          </w:tcPr>
          <w:p w:rsidR="0002713E" w:rsidRPr="0002713E" w:rsidRDefault="0002713E" w:rsidP="00604D4D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29" w:type="dxa"/>
          </w:tcPr>
          <w:p w:rsidR="0002713E" w:rsidRPr="0002713E" w:rsidRDefault="0002713E" w:rsidP="00604D4D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71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02713E" w:rsidRPr="0002713E" w:rsidRDefault="0002713E" w:rsidP="0002713E">
            <w:pPr>
              <w:pStyle w:val="p"/>
              <w:spacing w:before="0" w:beforeAutospacing="0" w:after="0" w:afterAutospacing="0"/>
              <w:jc w:val="center"/>
              <w:rPr>
                <w:rFonts w:cs="Tahoma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2713E">
              <w:rPr>
                <w:sz w:val="28"/>
                <w:szCs w:val="28"/>
              </w:rPr>
              <w:t xml:space="preserve"> </w:t>
            </w:r>
            <w:r>
              <w:rPr>
                <w:rFonts w:cs="Tahoma"/>
                <w:bCs/>
                <w:sz w:val="28"/>
                <w:szCs w:val="28"/>
              </w:rPr>
              <w:t>поряд</w:t>
            </w:r>
            <w:r w:rsidRPr="0002713E">
              <w:rPr>
                <w:rFonts w:cs="Tahoma"/>
                <w:bCs/>
                <w:sz w:val="28"/>
                <w:szCs w:val="28"/>
              </w:rPr>
              <w:t>к</w:t>
            </w:r>
            <w:r>
              <w:rPr>
                <w:rFonts w:cs="Tahoma"/>
                <w:bCs/>
                <w:sz w:val="28"/>
                <w:szCs w:val="28"/>
              </w:rPr>
              <w:t xml:space="preserve">у </w:t>
            </w:r>
            <w:r w:rsidRPr="0002713E">
              <w:rPr>
                <w:rFonts w:cs="Tahoma"/>
                <w:bCs/>
                <w:sz w:val="28"/>
                <w:szCs w:val="28"/>
              </w:rPr>
              <w:t>выплаты собственниками помещений в многоквартирном доме</w:t>
            </w:r>
          </w:p>
          <w:p w:rsidR="0002713E" w:rsidRPr="0002713E" w:rsidRDefault="0002713E" w:rsidP="0002713E">
            <w:pPr>
              <w:pStyle w:val="p"/>
              <w:spacing w:before="0" w:beforeAutospacing="0" w:after="0" w:afterAutospacing="0"/>
              <w:jc w:val="center"/>
              <w:rPr>
                <w:rFonts w:cs="Tahoma"/>
                <w:sz w:val="28"/>
                <w:szCs w:val="28"/>
              </w:rPr>
            </w:pPr>
            <w:r w:rsidRPr="0002713E">
              <w:rPr>
                <w:rFonts w:cs="Tahoma"/>
                <w:bCs/>
                <w:sz w:val="28"/>
                <w:szCs w:val="28"/>
              </w:rPr>
              <w:t>средств на долевое финансирование капитального ремонта многоквартирного дома</w:t>
            </w:r>
          </w:p>
          <w:p w:rsidR="0002713E" w:rsidRPr="0002713E" w:rsidRDefault="0002713E" w:rsidP="00604D4D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44740" w:rsidRPr="0002713E" w:rsidRDefault="00F44740" w:rsidP="00604D4D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18"/>
        <w:gridCol w:w="1260"/>
        <w:gridCol w:w="1222"/>
        <w:gridCol w:w="478"/>
        <w:gridCol w:w="1408"/>
        <w:gridCol w:w="173"/>
        <w:gridCol w:w="1534"/>
        <w:gridCol w:w="2063"/>
      </w:tblGrid>
      <w:tr w:rsidR="0002713E" w:rsidRPr="009872A6" w:rsidTr="00FC52A8">
        <w:trPr>
          <w:trHeight w:val="375"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1795" w:rsidRPr="00FC52A8" w:rsidRDefault="0002713E" w:rsidP="00291795">
            <w:pPr>
              <w:jc w:val="center"/>
              <w:rPr>
                <w:b/>
                <w:sz w:val="28"/>
                <w:szCs w:val="28"/>
              </w:rPr>
            </w:pPr>
            <w:r w:rsidRPr="00FC52A8">
              <w:rPr>
                <w:b/>
                <w:sz w:val="28"/>
                <w:szCs w:val="28"/>
              </w:rPr>
              <w:t>Информация</w:t>
            </w:r>
          </w:p>
          <w:p w:rsidR="00291795" w:rsidRPr="00FC52A8" w:rsidRDefault="00291795" w:rsidP="00291795">
            <w:pPr>
              <w:jc w:val="center"/>
              <w:rPr>
                <w:b/>
                <w:sz w:val="28"/>
                <w:szCs w:val="28"/>
              </w:rPr>
            </w:pPr>
            <w:r w:rsidRPr="00FC52A8">
              <w:rPr>
                <w:b/>
                <w:sz w:val="28"/>
                <w:szCs w:val="28"/>
              </w:rPr>
              <w:t>о суммах средств собственников помещений в многоквартирном</w:t>
            </w:r>
          </w:p>
          <w:p w:rsidR="00291795" w:rsidRPr="00FC52A8" w:rsidRDefault="00291795" w:rsidP="00291795">
            <w:pPr>
              <w:jc w:val="center"/>
              <w:rPr>
                <w:b/>
                <w:sz w:val="28"/>
                <w:szCs w:val="28"/>
              </w:rPr>
            </w:pPr>
            <w:r w:rsidRPr="00FC52A8">
              <w:rPr>
                <w:b/>
                <w:sz w:val="28"/>
                <w:szCs w:val="28"/>
              </w:rPr>
              <w:t>доме на долевое финансирование капитального ремонта</w:t>
            </w:r>
          </w:p>
          <w:p w:rsidR="0002713E" w:rsidRPr="00FC52A8" w:rsidRDefault="00291795" w:rsidP="00291795">
            <w:pPr>
              <w:jc w:val="center"/>
              <w:rPr>
                <w:b/>
                <w:sz w:val="28"/>
                <w:szCs w:val="28"/>
              </w:rPr>
            </w:pPr>
            <w:r w:rsidRPr="00FC52A8">
              <w:rPr>
                <w:b/>
                <w:sz w:val="28"/>
                <w:szCs w:val="28"/>
              </w:rPr>
              <w:t xml:space="preserve"> по состоянию на «___»________</w:t>
            </w:r>
            <w:r w:rsidR="0002713E" w:rsidRPr="00FC52A8">
              <w:rPr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2713E" w:rsidRPr="00FC52A8">
                <w:rPr>
                  <w:b/>
                  <w:sz w:val="28"/>
                  <w:szCs w:val="28"/>
                </w:rPr>
                <w:t>2014 г</w:t>
              </w:r>
            </w:smartTag>
            <w:r w:rsidR="0002713E" w:rsidRPr="00FC52A8">
              <w:rPr>
                <w:b/>
                <w:sz w:val="28"/>
                <w:szCs w:val="28"/>
              </w:rPr>
              <w:t>.</w:t>
            </w:r>
          </w:p>
          <w:p w:rsidR="00291795" w:rsidRDefault="00291795" w:rsidP="00291795">
            <w:pPr>
              <w:jc w:val="center"/>
              <w:rPr>
                <w:sz w:val="28"/>
                <w:szCs w:val="28"/>
              </w:rPr>
            </w:pPr>
          </w:p>
          <w:p w:rsidR="00291795" w:rsidRPr="009872A6" w:rsidRDefault="00291795" w:rsidP="00291795">
            <w:pPr>
              <w:jc w:val="center"/>
              <w:rPr>
                <w:sz w:val="28"/>
                <w:szCs w:val="28"/>
              </w:rPr>
            </w:pPr>
          </w:p>
        </w:tc>
      </w:tr>
      <w:tr w:rsidR="0002713E" w:rsidRPr="009872A6" w:rsidTr="00FC52A8">
        <w:trPr>
          <w:trHeight w:val="193"/>
        </w:trPr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02713E" w:rsidRPr="00291795" w:rsidRDefault="0002713E" w:rsidP="00291795">
            <w:pPr>
              <w:jc w:val="center"/>
              <w:rPr>
                <w:sz w:val="20"/>
                <w:szCs w:val="20"/>
              </w:rPr>
            </w:pPr>
            <w:r w:rsidRPr="00291795">
              <w:rPr>
                <w:sz w:val="20"/>
                <w:szCs w:val="20"/>
              </w:rPr>
              <w:t>(адрес)</w:t>
            </w:r>
          </w:p>
        </w:tc>
      </w:tr>
      <w:tr w:rsidR="00604D4D" w:rsidRPr="009872A6" w:rsidTr="00FC52A8">
        <w:trPr>
          <w:trHeight w:val="211"/>
        </w:trPr>
        <w:tc>
          <w:tcPr>
            <w:tcW w:w="9356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04D4D" w:rsidRPr="009872A6" w:rsidRDefault="00604D4D" w:rsidP="005D191B">
            <w:pPr>
              <w:rPr>
                <w:sz w:val="20"/>
                <w:szCs w:val="20"/>
              </w:rPr>
            </w:pPr>
          </w:p>
        </w:tc>
      </w:tr>
      <w:tr w:rsidR="0002713E" w:rsidRPr="009872A6" w:rsidTr="00FC52A8">
        <w:trPr>
          <w:trHeight w:val="37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3E" w:rsidRPr="009872A6" w:rsidRDefault="0002713E" w:rsidP="00291795">
            <w:pPr>
              <w:rPr>
                <w:rFonts w:ascii="Calibri" w:hAnsi="Calibri"/>
                <w:sz w:val="22"/>
                <w:szCs w:val="22"/>
              </w:rPr>
            </w:pPr>
            <w:r w:rsidRPr="009872A6">
              <w:rPr>
                <w:sz w:val="28"/>
                <w:szCs w:val="28"/>
              </w:rPr>
              <w:t>Стоимость капитального ремонта, руб. _______________</w:t>
            </w:r>
            <w:r w:rsidR="00291795">
              <w:rPr>
                <w:sz w:val="28"/>
                <w:szCs w:val="28"/>
              </w:rPr>
              <w:t>________________</w:t>
            </w:r>
          </w:p>
        </w:tc>
      </w:tr>
      <w:tr w:rsidR="0002713E" w:rsidRPr="009872A6" w:rsidTr="00FC52A8">
        <w:trPr>
          <w:trHeight w:val="37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3E" w:rsidRPr="009872A6" w:rsidRDefault="0002713E" w:rsidP="00291795">
            <w:pPr>
              <w:rPr>
                <w:rFonts w:ascii="Calibri" w:hAnsi="Calibri"/>
                <w:sz w:val="22"/>
                <w:szCs w:val="22"/>
              </w:rPr>
            </w:pPr>
            <w:r w:rsidRPr="009872A6">
              <w:rPr>
                <w:sz w:val="28"/>
                <w:szCs w:val="28"/>
              </w:rPr>
              <w:t>Общая площадь помещений, кв.</w:t>
            </w:r>
            <w:r w:rsidR="00291795">
              <w:rPr>
                <w:sz w:val="28"/>
                <w:szCs w:val="28"/>
              </w:rPr>
              <w:t xml:space="preserve"> м </w:t>
            </w:r>
            <w:r w:rsidRPr="009872A6">
              <w:rPr>
                <w:sz w:val="28"/>
                <w:szCs w:val="28"/>
              </w:rPr>
              <w:t>_______________</w:t>
            </w:r>
            <w:r w:rsidR="00291795">
              <w:rPr>
                <w:sz w:val="28"/>
                <w:szCs w:val="28"/>
              </w:rPr>
              <w:t>____________________</w:t>
            </w:r>
          </w:p>
        </w:tc>
      </w:tr>
      <w:tr w:rsidR="00604D4D" w:rsidRPr="009872A6" w:rsidTr="00FC52A8">
        <w:trPr>
          <w:trHeight w:val="37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D4D" w:rsidRDefault="00604D4D" w:rsidP="005D191B">
            <w:pPr>
              <w:rPr>
                <w:sz w:val="28"/>
                <w:szCs w:val="28"/>
              </w:rPr>
            </w:pPr>
            <w:r w:rsidRPr="009872A6">
              <w:rPr>
                <w:sz w:val="28"/>
                <w:szCs w:val="28"/>
              </w:rPr>
              <w:t>Удельная стоимость проведения капитального ремонта 1 кв.</w:t>
            </w:r>
            <w:r w:rsidR="00291795">
              <w:rPr>
                <w:sz w:val="28"/>
                <w:szCs w:val="28"/>
              </w:rPr>
              <w:t xml:space="preserve"> м</w:t>
            </w:r>
            <w:r w:rsidRPr="009872A6">
              <w:rPr>
                <w:sz w:val="28"/>
                <w:szCs w:val="28"/>
              </w:rPr>
              <w:t>, руб. ______</w:t>
            </w:r>
          </w:p>
          <w:p w:rsidR="00FC52A8" w:rsidRPr="009872A6" w:rsidRDefault="00FC52A8" w:rsidP="005D191B">
            <w:pPr>
              <w:rPr>
                <w:sz w:val="28"/>
                <w:szCs w:val="28"/>
              </w:rPr>
            </w:pPr>
          </w:p>
        </w:tc>
      </w:tr>
      <w:tr w:rsidR="00604D4D" w:rsidRPr="009872A6" w:rsidTr="00FC52A8">
        <w:trPr>
          <w:trHeight w:val="37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D4D" w:rsidRPr="009872A6" w:rsidRDefault="00604D4D" w:rsidP="005D191B">
            <w:pPr>
              <w:rPr>
                <w:sz w:val="28"/>
                <w:szCs w:val="28"/>
              </w:rPr>
            </w:pPr>
            <w:r w:rsidRPr="009872A6">
              <w:rPr>
                <w:sz w:val="28"/>
                <w:szCs w:val="28"/>
              </w:rPr>
              <w:t>Предоставление рассрочки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04D4D" w:rsidRPr="009872A6" w:rsidRDefault="00604D4D" w:rsidP="005D191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04D4D" w:rsidRPr="009872A6" w:rsidRDefault="00604D4D" w:rsidP="005D191B">
            <w:r w:rsidRPr="009872A6">
              <w:rPr>
                <w:sz w:val="28"/>
                <w:szCs w:val="28"/>
                <w:u w:val="single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872A6">
                <w:rPr>
                  <w:sz w:val="28"/>
                  <w:szCs w:val="28"/>
                  <w:u w:val="single"/>
                </w:rPr>
                <w:t>2014 г</w:t>
              </w:r>
            </w:smartTag>
            <w:r w:rsidRPr="009872A6">
              <w:rPr>
                <w:sz w:val="28"/>
                <w:szCs w:val="28"/>
              </w:rPr>
              <w:t xml:space="preserve">. </w:t>
            </w:r>
          </w:p>
        </w:tc>
      </w:tr>
      <w:tr w:rsidR="00291795" w:rsidRPr="009872A6" w:rsidTr="00FC52A8">
        <w:trPr>
          <w:trHeight w:val="315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1795" w:rsidRPr="009872A6" w:rsidRDefault="00291795" w:rsidP="005D191B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1795" w:rsidRPr="009872A6" w:rsidRDefault="00291795" w:rsidP="005D191B"/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1795" w:rsidRPr="009872A6" w:rsidRDefault="00291795" w:rsidP="005D191B"/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1795" w:rsidRPr="009872A6" w:rsidRDefault="00291795" w:rsidP="005D191B"/>
        </w:tc>
        <w:tc>
          <w:tcPr>
            <w:tcW w:w="170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1795" w:rsidRPr="009872A6" w:rsidRDefault="00291795" w:rsidP="005D191B"/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1795" w:rsidRPr="009872A6" w:rsidRDefault="00291795" w:rsidP="005D191B">
            <w:pPr>
              <w:rPr>
                <w:sz w:val="20"/>
                <w:szCs w:val="20"/>
              </w:rPr>
            </w:pPr>
          </w:p>
        </w:tc>
      </w:tr>
      <w:tr w:rsidR="00291795" w:rsidRPr="009872A6" w:rsidTr="00FC52A8">
        <w:trPr>
          <w:trHeight w:val="142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95" w:rsidRPr="009872A6" w:rsidRDefault="00291795" w:rsidP="00FC52A8">
            <w:pPr>
              <w:jc w:val="center"/>
              <w:rPr>
                <w:bCs/>
              </w:rPr>
            </w:pPr>
            <w:r w:rsidRPr="009872A6">
              <w:rPr>
                <w:bCs/>
              </w:rPr>
              <w:t>№ квартиры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95" w:rsidRPr="009872A6" w:rsidRDefault="00291795" w:rsidP="00FC52A8">
            <w:pPr>
              <w:jc w:val="center"/>
              <w:rPr>
                <w:bCs/>
              </w:rPr>
            </w:pPr>
            <w:r w:rsidRPr="009872A6">
              <w:rPr>
                <w:bCs/>
              </w:rPr>
              <w:t>Площадь, кв.м.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95" w:rsidRPr="009872A6" w:rsidRDefault="00291795" w:rsidP="00FC52A8">
            <w:pPr>
              <w:jc w:val="center"/>
              <w:rPr>
                <w:bCs/>
              </w:rPr>
            </w:pPr>
            <w:r w:rsidRPr="009872A6">
              <w:rPr>
                <w:bCs/>
              </w:rPr>
              <w:t>Начисленная сумма средств собственника помещений, руб.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95" w:rsidRPr="009872A6" w:rsidRDefault="00FC52A8" w:rsidP="00FC52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Рассрочка, </w:t>
            </w:r>
            <w:r w:rsidR="00291795" w:rsidRPr="009872A6">
              <w:rPr>
                <w:bCs/>
              </w:rPr>
              <w:t>кол-во мес.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95" w:rsidRPr="009872A6" w:rsidRDefault="00291795" w:rsidP="00FC52A8">
            <w:pPr>
              <w:jc w:val="center"/>
              <w:rPr>
                <w:bCs/>
              </w:rPr>
            </w:pPr>
            <w:r w:rsidRPr="009872A6">
              <w:rPr>
                <w:bCs/>
              </w:rPr>
              <w:t>Ежемесячный платеж, руб.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95" w:rsidRPr="009872A6" w:rsidRDefault="00291795" w:rsidP="00FC52A8">
            <w:pPr>
              <w:jc w:val="center"/>
              <w:rPr>
                <w:sz w:val="20"/>
                <w:szCs w:val="20"/>
              </w:rPr>
            </w:pPr>
            <w:r w:rsidRPr="009872A6">
              <w:rPr>
                <w:bCs/>
              </w:rPr>
              <w:t>Полученная сумма средств от собственников помещений, руб.</w:t>
            </w:r>
          </w:p>
        </w:tc>
      </w:tr>
      <w:tr w:rsidR="00291795" w:rsidRPr="009872A6" w:rsidTr="00FC52A8">
        <w:trPr>
          <w:trHeight w:val="229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795" w:rsidRPr="00FC52A8" w:rsidRDefault="00291795" w:rsidP="00FC52A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795" w:rsidRPr="00FC52A8" w:rsidRDefault="00291795" w:rsidP="00FC52A8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795" w:rsidRPr="00FC52A8" w:rsidRDefault="00291795" w:rsidP="00FC52A8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795" w:rsidRPr="00FC52A8" w:rsidRDefault="00291795" w:rsidP="00FC52A8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795" w:rsidRPr="00FC52A8" w:rsidRDefault="00291795" w:rsidP="00FC52A8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795" w:rsidRPr="00FC52A8" w:rsidRDefault="00291795" w:rsidP="00FC52A8">
            <w:pPr>
              <w:jc w:val="center"/>
            </w:pPr>
          </w:p>
        </w:tc>
      </w:tr>
    </w:tbl>
    <w:p w:rsidR="00604D4D" w:rsidRPr="009872A6" w:rsidRDefault="00604D4D" w:rsidP="00604D4D">
      <w:pPr>
        <w:pStyle w:val="af3"/>
        <w:spacing w:before="0" w:after="0"/>
        <w:jc w:val="center"/>
        <w:rPr>
          <w:rFonts w:cs="Tahoma"/>
          <w:color w:val="auto"/>
        </w:rPr>
      </w:pPr>
      <w:r w:rsidRPr="009872A6">
        <w:rPr>
          <w:rFonts w:cs="Tahoma"/>
          <w:color w:val="auto"/>
        </w:rPr>
        <w:t> </w:t>
      </w:r>
    </w:p>
    <w:p w:rsidR="00604D4D" w:rsidRPr="009872A6" w:rsidRDefault="00604D4D" w:rsidP="00604D4D">
      <w:pPr>
        <w:pStyle w:val="af3"/>
        <w:spacing w:before="0" w:after="0"/>
        <w:jc w:val="center"/>
        <w:rPr>
          <w:rFonts w:cs="Tahoma"/>
          <w:color w:val="auto"/>
        </w:rPr>
      </w:pPr>
    </w:p>
    <w:p w:rsidR="00604D4D" w:rsidRPr="009872A6" w:rsidRDefault="00604D4D" w:rsidP="00604D4D">
      <w:pPr>
        <w:pStyle w:val="af3"/>
        <w:spacing w:before="0" w:after="0"/>
        <w:jc w:val="center"/>
        <w:rPr>
          <w:rFonts w:cs="Tahoma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3521"/>
        <w:gridCol w:w="2828"/>
      </w:tblGrid>
      <w:tr w:rsidR="00604D4D" w:rsidRPr="009872A6" w:rsidTr="00FC52A8">
        <w:tc>
          <w:tcPr>
            <w:tcW w:w="3108" w:type="dxa"/>
          </w:tcPr>
          <w:p w:rsidR="00604D4D" w:rsidRPr="009872A6" w:rsidRDefault="00604D4D" w:rsidP="005D191B">
            <w:pPr>
              <w:pStyle w:val="af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2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3521" w:type="dxa"/>
          </w:tcPr>
          <w:p w:rsidR="00604D4D" w:rsidRPr="009872A6" w:rsidRDefault="00604D4D" w:rsidP="005D191B">
            <w:pPr>
              <w:pStyle w:val="af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2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</w:t>
            </w:r>
          </w:p>
        </w:tc>
        <w:tc>
          <w:tcPr>
            <w:tcW w:w="2828" w:type="dxa"/>
          </w:tcPr>
          <w:p w:rsidR="00604D4D" w:rsidRPr="009872A6" w:rsidRDefault="00604D4D" w:rsidP="00FC52A8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2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/________________/</w:t>
            </w:r>
          </w:p>
        </w:tc>
      </w:tr>
      <w:tr w:rsidR="00604D4D" w:rsidRPr="009872A6" w:rsidTr="00FC52A8">
        <w:tc>
          <w:tcPr>
            <w:tcW w:w="3108" w:type="dxa"/>
          </w:tcPr>
          <w:p w:rsidR="00604D4D" w:rsidRPr="009872A6" w:rsidRDefault="00604D4D" w:rsidP="005D191B">
            <w:pPr>
              <w:pStyle w:val="af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</w:tcPr>
          <w:p w:rsidR="00604D4D" w:rsidRPr="00FC52A8" w:rsidRDefault="00FC52A8" w:rsidP="00FC52A8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52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28" w:type="dxa"/>
          </w:tcPr>
          <w:p w:rsidR="00604D4D" w:rsidRPr="00FC52A8" w:rsidRDefault="00FC52A8" w:rsidP="00FC52A8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52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(расшифровка)</w:t>
            </w:r>
          </w:p>
        </w:tc>
      </w:tr>
      <w:tr w:rsidR="00604D4D" w:rsidRPr="009872A6" w:rsidTr="00FC52A8">
        <w:tc>
          <w:tcPr>
            <w:tcW w:w="3108" w:type="dxa"/>
          </w:tcPr>
          <w:p w:rsidR="00604D4D" w:rsidRPr="009872A6" w:rsidRDefault="00604D4D" w:rsidP="005D191B">
            <w:pPr>
              <w:pStyle w:val="af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2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бухгалтер</w:t>
            </w:r>
          </w:p>
        </w:tc>
        <w:tc>
          <w:tcPr>
            <w:tcW w:w="3521" w:type="dxa"/>
          </w:tcPr>
          <w:p w:rsidR="00604D4D" w:rsidRPr="009872A6" w:rsidRDefault="00604D4D" w:rsidP="005D191B">
            <w:pPr>
              <w:pStyle w:val="af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2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</w:t>
            </w:r>
          </w:p>
        </w:tc>
        <w:tc>
          <w:tcPr>
            <w:tcW w:w="2828" w:type="dxa"/>
          </w:tcPr>
          <w:p w:rsidR="00604D4D" w:rsidRPr="009872A6" w:rsidRDefault="00604D4D" w:rsidP="00FC52A8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2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/________________/</w:t>
            </w:r>
          </w:p>
        </w:tc>
      </w:tr>
      <w:tr w:rsidR="00FC52A8" w:rsidRPr="009872A6" w:rsidTr="00FC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FC52A8" w:rsidRPr="009872A6" w:rsidRDefault="00FC52A8" w:rsidP="007610CB">
            <w:pPr>
              <w:pStyle w:val="af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FC52A8" w:rsidRPr="00FC52A8" w:rsidRDefault="00FC52A8" w:rsidP="007610CB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52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FC52A8" w:rsidRPr="00FC52A8" w:rsidRDefault="00FC52A8" w:rsidP="007610CB">
            <w:pPr>
              <w:pStyle w:val="af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52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(расшифровка)</w:t>
            </w:r>
          </w:p>
        </w:tc>
      </w:tr>
    </w:tbl>
    <w:p w:rsidR="004C7CB5" w:rsidRPr="00FC52A8" w:rsidRDefault="004C7CB5" w:rsidP="00FC52A8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4C7CB5" w:rsidRPr="00FC52A8" w:rsidSect="009872A6">
      <w:headerReference w:type="first" r:id="rId9"/>
      <w:pgSz w:w="11906" w:h="16838"/>
      <w:pgMar w:top="851" w:right="680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46" w:rsidRDefault="00516846">
      <w:r>
        <w:separator/>
      </w:r>
    </w:p>
  </w:endnote>
  <w:endnote w:type="continuationSeparator" w:id="1">
    <w:p w:rsidR="00516846" w:rsidRDefault="0051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46" w:rsidRDefault="00516846">
      <w:r>
        <w:separator/>
      </w:r>
    </w:p>
  </w:footnote>
  <w:footnote w:type="continuationSeparator" w:id="1">
    <w:p w:rsidR="00516846" w:rsidRDefault="00516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1606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05.08.2014</w:t>
          </w:r>
        </w:p>
      </w:tc>
      <w:tc>
        <w:tcPr>
          <w:tcW w:w="4643" w:type="dxa"/>
        </w:tcPr>
        <w:p w:rsidR="00EF2F52" w:rsidRPr="00FE6B31" w:rsidRDefault="00A1606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713E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3B68"/>
    <w:rsid w:val="0027724C"/>
    <w:rsid w:val="002775D9"/>
    <w:rsid w:val="002776C9"/>
    <w:rsid w:val="00282636"/>
    <w:rsid w:val="0028352A"/>
    <w:rsid w:val="00285059"/>
    <w:rsid w:val="002864EB"/>
    <w:rsid w:val="00291795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481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8ED"/>
    <w:rsid w:val="00485ACF"/>
    <w:rsid w:val="004925DF"/>
    <w:rsid w:val="00494470"/>
    <w:rsid w:val="00496B53"/>
    <w:rsid w:val="004A4408"/>
    <w:rsid w:val="004B40E7"/>
    <w:rsid w:val="004B7A4F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6846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4D4D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96F05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7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3D9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872A6"/>
    <w:rsid w:val="009903D1"/>
    <w:rsid w:val="00990CAA"/>
    <w:rsid w:val="009918C2"/>
    <w:rsid w:val="009A5563"/>
    <w:rsid w:val="009C13BE"/>
    <w:rsid w:val="009D0159"/>
    <w:rsid w:val="009D1A7E"/>
    <w:rsid w:val="009D27D7"/>
    <w:rsid w:val="009E12EF"/>
    <w:rsid w:val="009E2CB1"/>
    <w:rsid w:val="009E6EA7"/>
    <w:rsid w:val="009F07EC"/>
    <w:rsid w:val="00A01C96"/>
    <w:rsid w:val="00A03120"/>
    <w:rsid w:val="00A12946"/>
    <w:rsid w:val="00A1606C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E7BB9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0198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167"/>
    <w:rsid w:val="00EF2F52"/>
    <w:rsid w:val="00EF3FE7"/>
    <w:rsid w:val="00EF55E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740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2A8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paragraph" w:customStyle="1" w:styleId="p">
    <w:name w:val="p"/>
    <w:basedOn w:val="a"/>
    <w:rsid w:val="00604D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9</cp:revision>
  <cp:lastPrinted>2014-08-06T05:20:00Z</cp:lastPrinted>
  <dcterms:created xsi:type="dcterms:W3CDTF">2014-07-31T05:41:00Z</dcterms:created>
  <dcterms:modified xsi:type="dcterms:W3CDTF">2014-08-06T07:43:00Z</dcterms:modified>
</cp:coreProperties>
</file>