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73" w:rsidRDefault="00354273">
      <w:pPr>
        <w:widowControl w:val="0"/>
        <w:spacing w:line="240" w:lineRule="auto"/>
        <w:jc w:val="center"/>
      </w:pPr>
      <w:r>
        <w:t>Соглашение № 1</w:t>
      </w:r>
    </w:p>
    <w:p w:rsidR="00354273" w:rsidRDefault="00354273">
      <w:pPr>
        <w:widowControl w:val="0"/>
        <w:spacing w:line="240" w:lineRule="auto"/>
        <w:jc w:val="center"/>
      </w:pPr>
      <w:r>
        <w:t xml:space="preserve">о передаче полномочий по  </w:t>
      </w:r>
      <w:r>
        <w:rPr>
          <w:spacing w:val="1"/>
          <w:kern w:val="2"/>
        </w:rPr>
        <w:t>проведению</w:t>
      </w:r>
    </w:p>
    <w:p w:rsidR="00354273" w:rsidRDefault="00354273">
      <w:pPr>
        <w:widowControl w:val="0"/>
        <w:spacing w:line="240" w:lineRule="auto"/>
        <w:jc w:val="center"/>
      </w:pPr>
      <w:r>
        <w:rPr>
          <w:spacing w:val="1"/>
          <w:kern w:val="2"/>
        </w:rPr>
        <w:t>мониторинга качества финансового менеджмента</w:t>
      </w:r>
    </w:p>
    <w:p w:rsidR="00354273" w:rsidRDefault="00354273">
      <w:pPr>
        <w:pStyle w:val="ConsPlusNormal"/>
        <w:spacing w:line="276" w:lineRule="auto"/>
        <w:ind w:firstLine="540"/>
        <w:jc w:val="center"/>
        <w:rPr>
          <w:rFonts w:cs="Times New Roman"/>
        </w:rPr>
      </w:pPr>
    </w:p>
    <w:p w:rsidR="00354273" w:rsidRDefault="00354273">
      <w:pPr>
        <w:widowControl w:val="0"/>
        <w:spacing w:line="276" w:lineRule="auto"/>
        <w:jc w:val="left"/>
      </w:pPr>
      <w:r>
        <w:t>п. Светлый                                                                                «31» августа 2020 г.</w:t>
      </w:r>
    </w:p>
    <w:p w:rsidR="00354273" w:rsidRDefault="00354273">
      <w:pPr>
        <w:pStyle w:val="ConsPlusNormal"/>
        <w:spacing w:line="276" w:lineRule="auto"/>
        <w:ind w:firstLine="540"/>
        <w:jc w:val="both"/>
        <w:rPr>
          <w:rFonts w:cs="Times New Roman"/>
        </w:rPr>
      </w:pPr>
    </w:p>
    <w:p w:rsidR="00354273" w:rsidRDefault="00354273" w:rsidP="002C44B1">
      <w:pPr>
        <w:pStyle w:val="ConsPlusNormal"/>
        <w:spacing w:line="276" w:lineRule="auto"/>
        <w:ind w:firstLine="540"/>
        <w:jc w:val="both"/>
        <w:rPr>
          <w:rFonts w:ascii="Times New Roman" w:hAnsi="Times New Roman" w:cs="Times New Roman"/>
        </w:rPr>
      </w:pPr>
      <w:r>
        <w:rPr>
          <w:rFonts w:ascii="Times New Roman" w:hAnsi="Times New Roman" w:cs="Times New Roman"/>
        </w:rPr>
        <w:t>Администрация городского округа ЗАТО Светлый, именуемая в дальнейшем «Главный администратор бюджетных средств», в лице временно исполняющего полномочия  главы городского округа ЗАТО Светлый Шандыбиной Оксаны Николаевны, действующего на основании Устава муниципального образования Городской округ З</w:t>
      </w:r>
      <w:r>
        <w:rPr>
          <w:rFonts w:ascii="Times New Roman" w:hAnsi="Times New Roman" w:cs="Times New Roman"/>
          <w:color w:val="242424"/>
          <w:sz w:val="27"/>
          <w:szCs w:val="27"/>
        </w:rPr>
        <w:t>АТО Светлый Саратовской области, решения Муниципального собрания городского округа ЗАТО Светлый  Саратовской области от 11 декабря 2019 года № 56-247м «</w:t>
      </w:r>
      <w:r>
        <w:rPr>
          <w:rFonts w:ascii="Times New Roman" w:hAnsi="Times New Roman" w:cs="Times New Roman"/>
          <w:color w:val="242424"/>
        </w:rPr>
        <w:t xml:space="preserve">О временном возложении полномочий Главы городского округа ЗАТО Светлый Саратовской области», </w:t>
      </w:r>
      <w:r>
        <w:rPr>
          <w:rFonts w:ascii="Times New Roman" w:hAnsi="Times New Roman" w:cs="Times New Roman"/>
        </w:rPr>
        <w:t>с одной стороны, и управление финансов и экономического развития администрации городского округа ЗАТО Светлый, именуемое в  дальнейшем  «Финансовый орган», в лице начальника управления финансов и экономического развития Кравченко Юлии Ивановны, действующего на основании  Положения об Управлении финансов и экономического развития администрации городского округа ЗАТО Светлый, утвержденного распоряжением администрации городского округа ЗАТО Светлый от 6 апреля 2020 года № 81-р, с  другой  стороны,  далее  именуемые «Стороны», в соответствии с пунктом 8 статьи 160.2-1 Бюджетного кодекса Российской Федерации, заключили настоящее Соглашение о нижеследующем:</w:t>
      </w:r>
    </w:p>
    <w:p w:rsidR="00354273" w:rsidRDefault="00354273" w:rsidP="002C44B1">
      <w:pPr>
        <w:pStyle w:val="ConsPlusNormal"/>
        <w:spacing w:line="276" w:lineRule="auto"/>
        <w:ind w:firstLine="540"/>
        <w:jc w:val="both"/>
        <w:rPr>
          <w:rFonts w:ascii="Times New Roman" w:hAnsi="Times New Roman" w:cs="Times New Roman"/>
        </w:rPr>
      </w:pPr>
    </w:p>
    <w:p w:rsidR="00354273" w:rsidRDefault="00354273">
      <w:pPr>
        <w:pStyle w:val="ConsPlusNormal"/>
        <w:spacing w:line="276" w:lineRule="auto"/>
        <w:ind w:hanging="57"/>
        <w:jc w:val="center"/>
        <w:rPr>
          <w:rFonts w:ascii="Times New Roman" w:hAnsi="Times New Roman" w:cs="Times New Roman"/>
        </w:rPr>
      </w:pPr>
      <w:r>
        <w:rPr>
          <w:rFonts w:ascii="Times New Roman" w:hAnsi="Times New Roman" w:cs="Times New Roman"/>
        </w:rPr>
        <w:t>1. Предмет Соглашения</w:t>
      </w:r>
    </w:p>
    <w:p w:rsidR="00354273" w:rsidRDefault="00354273">
      <w:pPr>
        <w:pStyle w:val="ConsPlusNormal"/>
        <w:spacing w:line="276" w:lineRule="auto"/>
        <w:ind w:firstLine="709"/>
        <w:jc w:val="both"/>
        <w:rPr>
          <w:rFonts w:ascii="Times New Roman" w:hAnsi="Times New Roman" w:cs="Times New Roman"/>
        </w:rPr>
      </w:pPr>
    </w:p>
    <w:p w:rsidR="00354273" w:rsidRDefault="00354273">
      <w:pPr>
        <w:pStyle w:val="ConsPlusNormal"/>
        <w:numPr>
          <w:ilvl w:val="1"/>
          <w:numId w:val="1"/>
        </w:numPr>
        <w:tabs>
          <w:tab w:val="left" w:pos="1418"/>
        </w:tabs>
        <w:spacing w:line="276" w:lineRule="auto"/>
        <w:ind w:left="57" w:firstLine="680"/>
        <w:jc w:val="both"/>
        <w:rPr>
          <w:rFonts w:ascii="Times New Roman" w:hAnsi="Times New Roman" w:cs="Times New Roman"/>
        </w:rPr>
      </w:pPr>
      <w:r>
        <w:rPr>
          <w:rFonts w:ascii="Times New Roman" w:hAnsi="Times New Roman" w:cs="Times New Roman"/>
        </w:rPr>
        <w:t xml:space="preserve">В соответствии с настоящим Соглашением Главный администратор бюджетных средств передает на безвозмездной основе, а Финансовый орган принимает и осуществляет полномочия Главного администратора бюджетных средств по </w:t>
      </w:r>
      <w:r>
        <w:rPr>
          <w:rFonts w:ascii="Times New Roman" w:hAnsi="Times New Roman" w:cs="Times New Roman"/>
          <w:spacing w:val="1"/>
          <w:kern w:val="2"/>
        </w:rPr>
        <w:t>проведению мониторинга качества финансового менеджмента</w:t>
      </w:r>
      <w:r>
        <w:rPr>
          <w:rFonts w:ascii="Times New Roman" w:hAnsi="Times New Roman" w:cs="Times New Roman"/>
          <w:kern w:val="2"/>
        </w:rPr>
        <w:t xml:space="preserve"> в отношении казенных учреждений, подведомственных администрации городского округа ЗАТО Светлый </w:t>
      </w:r>
      <w:r>
        <w:rPr>
          <w:rFonts w:ascii="Times New Roman" w:hAnsi="Times New Roman" w:cs="Times New Roman"/>
        </w:rPr>
        <w:t>(далее – переданное полномочие).</w:t>
      </w:r>
    </w:p>
    <w:p w:rsidR="00354273" w:rsidRPr="00EB4338" w:rsidRDefault="00354273">
      <w:pPr>
        <w:pStyle w:val="ConsPlusNormal"/>
        <w:numPr>
          <w:ilvl w:val="1"/>
          <w:numId w:val="1"/>
        </w:numPr>
        <w:tabs>
          <w:tab w:val="left" w:pos="1418"/>
        </w:tabs>
        <w:spacing w:line="276" w:lineRule="auto"/>
        <w:ind w:left="0" w:firstLine="737"/>
        <w:jc w:val="both"/>
        <w:rPr>
          <w:rFonts w:ascii="Times New Roman" w:hAnsi="Times New Roman" w:cs="Times New Roman"/>
        </w:rPr>
      </w:pPr>
      <w:r>
        <w:rPr>
          <w:rFonts w:ascii="Times New Roman" w:hAnsi="Times New Roman" w:cs="Times New Roman"/>
        </w:rPr>
        <w:t xml:space="preserve">Финансовый орган выполняет переданное полномочие для формирования и предоставления независимой и объективной информации, направленной на анализ и оценку исполнения </w:t>
      </w:r>
      <w:r>
        <w:rPr>
          <w:rFonts w:ascii="Times New Roman" w:hAnsi="Times New Roman" w:cs="Times New Roman"/>
          <w:kern w:val="2"/>
        </w:rPr>
        <w:t xml:space="preserve">объектами мониторинга </w:t>
      </w:r>
      <w:r>
        <w:rPr>
          <w:rFonts w:ascii="Times New Roman" w:hAnsi="Times New Roman" w:cs="Times New Roman"/>
        </w:rPr>
        <w:t>бюджетных полномочий, в том числе результатов выполнения бюджетных процедур и (или) операций (действий) по выполнению бюджетных процедур, а также управления активами, осуществления закупок товаров, работ и услуг для обеспечения муниципальных нужд.</w:t>
      </w:r>
    </w:p>
    <w:p w:rsidR="00354273" w:rsidRDefault="00354273">
      <w:pPr>
        <w:pStyle w:val="ConsPlusNormal"/>
        <w:numPr>
          <w:ilvl w:val="1"/>
          <w:numId w:val="1"/>
        </w:numPr>
        <w:tabs>
          <w:tab w:val="left" w:pos="1418"/>
        </w:tabs>
        <w:spacing w:line="276" w:lineRule="auto"/>
        <w:ind w:left="0" w:firstLine="737"/>
        <w:jc w:val="both"/>
        <w:rPr>
          <w:rFonts w:ascii="Times New Roman" w:hAnsi="Times New Roman" w:cs="Times New Roman"/>
        </w:rPr>
      </w:pPr>
      <w:r>
        <w:rPr>
          <w:rFonts w:ascii="Times New Roman" w:hAnsi="Times New Roman" w:cs="Times New Roman"/>
        </w:rPr>
        <w:t>Финансовый орган выполняет переданное полномочие в целях:</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определения качества финансового менеджмента объектов мониторинга;</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предупреждения, выявления и пресечения бюджетных нарушений, определенных статьей 306.1 Бюджетного кодекса Российской Федерации;</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выявления объектами мониторинга бюджетных рисков;</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подготовки предложений по реализации объектами мониторинга мер, направленных на минимизацию (устранение) бюджетных рисков, повышение качества финансового менеджмента, в том числе на достижение целевых значений показателей качества финансового менеджмента.</w:t>
      </w:r>
    </w:p>
    <w:p w:rsidR="00354273" w:rsidRDefault="00354273">
      <w:pPr>
        <w:pStyle w:val="ConsPlusNormal"/>
        <w:numPr>
          <w:ilvl w:val="1"/>
          <w:numId w:val="1"/>
        </w:numPr>
        <w:tabs>
          <w:tab w:val="left" w:pos="1418"/>
        </w:tabs>
        <w:spacing w:line="276" w:lineRule="auto"/>
        <w:ind w:left="57" w:firstLine="624"/>
        <w:jc w:val="both"/>
        <w:rPr>
          <w:rFonts w:ascii="Times New Roman" w:hAnsi="Times New Roman" w:cs="Times New Roman"/>
        </w:rPr>
      </w:pPr>
      <w:r>
        <w:rPr>
          <w:rFonts w:ascii="Times New Roman" w:hAnsi="Times New Roman" w:cs="Times New Roman"/>
        </w:rPr>
        <w:t xml:space="preserve">Казенные </w:t>
      </w:r>
      <w:r>
        <w:rPr>
          <w:rFonts w:ascii="Times New Roman" w:hAnsi="Times New Roman" w:cs="Times New Roman"/>
          <w:kern w:val="2"/>
        </w:rPr>
        <w:t xml:space="preserve">учреждения являющиеся </w:t>
      </w:r>
      <w:r>
        <w:rPr>
          <w:rFonts w:ascii="Times New Roman" w:hAnsi="Times New Roman" w:cs="Times New Roman"/>
          <w:spacing w:val="1"/>
          <w:kern w:val="2"/>
        </w:rPr>
        <w:t xml:space="preserve">получателями средств, администраторами доходов, администраторами источников финансирования дефицита бюджета городского округа ЗАТО Светлый и  подведомственные администрации городского округа ЗАТО Светлый </w:t>
      </w:r>
      <w:r>
        <w:rPr>
          <w:rFonts w:ascii="Times New Roman" w:hAnsi="Times New Roman" w:cs="Times New Roman"/>
        </w:rPr>
        <w:t>являются объектами мониторинга качества финансового менеджмента, осуществляемого Финансовым органом  (далее – объекты мониторинга).</w:t>
      </w:r>
    </w:p>
    <w:p w:rsidR="00354273" w:rsidRDefault="00354273">
      <w:pPr>
        <w:pStyle w:val="ConsPlusNormal"/>
        <w:numPr>
          <w:ilvl w:val="1"/>
          <w:numId w:val="1"/>
        </w:numPr>
        <w:tabs>
          <w:tab w:val="left" w:pos="1418"/>
        </w:tabs>
        <w:spacing w:line="276" w:lineRule="auto"/>
        <w:ind w:left="57" w:firstLine="624"/>
        <w:jc w:val="both"/>
        <w:rPr>
          <w:rFonts w:ascii="Times New Roman" w:hAnsi="Times New Roman" w:cs="Times New Roman"/>
        </w:rPr>
      </w:pPr>
      <w:r>
        <w:rPr>
          <w:rFonts w:ascii="Times New Roman" w:hAnsi="Times New Roman" w:cs="Times New Roman"/>
          <w:lang w:eastAsia="en-US"/>
        </w:rPr>
        <w:t>Субъектом мониторинга Главного администратора бюджетных средств является отдел бухгалтерского учета, отчетности и контроля управления финансов и экономического развития администрации городского округа ЗАТО Светлый (далее – Субъект мониторинга).</w:t>
      </w:r>
    </w:p>
    <w:p w:rsidR="00354273" w:rsidRDefault="00354273">
      <w:pPr>
        <w:pStyle w:val="ConsPlusNormal"/>
        <w:numPr>
          <w:ilvl w:val="1"/>
          <w:numId w:val="1"/>
        </w:numPr>
        <w:tabs>
          <w:tab w:val="left" w:pos="1418"/>
        </w:tabs>
        <w:spacing w:line="276" w:lineRule="auto"/>
        <w:ind w:left="57" w:firstLine="624"/>
        <w:jc w:val="both"/>
        <w:rPr>
          <w:rFonts w:ascii="Times New Roman" w:hAnsi="Times New Roman" w:cs="Times New Roman"/>
        </w:rPr>
      </w:pPr>
      <w:r>
        <w:rPr>
          <w:rFonts w:ascii="Times New Roman" w:hAnsi="Times New Roman" w:cs="Times New Roman"/>
        </w:rPr>
        <w:t>Хранение документов, сформированных в процессе выполнения переданного полномочия, в том числе по срокам хранения осуществляется в установленном действующим законодательством порядке.</w:t>
      </w:r>
    </w:p>
    <w:p w:rsidR="00354273" w:rsidRDefault="00354273">
      <w:pPr>
        <w:pStyle w:val="ConsPlusNormal"/>
        <w:tabs>
          <w:tab w:val="left" w:pos="1418"/>
        </w:tabs>
        <w:spacing w:line="276" w:lineRule="auto"/>
        <w:jc w:val="both"/>
        <w:rPr>
          <w:rFonts w:ascii="Times New Roman" w:hAnsi="Times New Roman" w:cs="Times New Roman"/>
        </w:rPr>
      </w:pPr>
    </w:p>
    <w:p w:rsidR="00354273" w:rsidRDefault="00354273">
      <w:pPr>
        <w:pStyle w:val="ConsPlusNormal"/>
        <w:spacing w:line="276" w:lineRule="auto"/>
        <w:jc w:val="center"/>
        <w:rPr>
          <w:rFonts w:ascii="Times New Roman" w:hAnsi="Times New Roman" w:cs="Times New Roman"/>
        </w:rPr>
      </w:pPr>
      <w:r>
        <w:rPr>
          <w:rFonts w:ascii="Times New Roman" w:hAnsi="Times New Roman" w:cs="Times New Roman"/>
        </w:rPr>
        <w:t>2. Права и обязанности Сторон</w:t>
      </w:r>
    </w:p>
    <w:p w:rsidR="00354273" w:rsidRDefault="00354273">
      <w:pPr>
        <w:pStyle w:val="ConsPlusNormal"/>
        <w:spacing w:line="276" w:lineRule="auto"/>
        <w:ind w:firstLine="709"/>
        <w:jc w:val="both"/>
        <w:rPr>
          <w:rFonts w:ascii="Times New Roman" w:hAnsi="Times New Roman" w:cs="Times New Roman"/>
        </w:rPr>
      </w:pPr>
    </w:p>
    <w:p w:rsidR="00354273" w:rsidRPr="00CA619A" w:rsidRDefault="00354273">
      <w:pPr>
        <w:tabs>
          <w:tab w:val="left" w:pos="1418"/>
        </w:tabs>
        <w:spacing w:line="276" w:lineRule="auto"/>
        <w:ind w:firstLine="737"/>
      </w:pPr>
      <w:r>
        <w:t xml:space="preserve">2.1. </w:t>
      </w:r>
      <w:r>
        <w:rPr>
          <w:lang w:eastAsia="en-US"/>
        </w:rPr>
        <w:t>Субъект мониторинга обязан проводить м</w:t>
      </w:r>
      <w:r>
        <w:t xml:space="preserve">ониторинг качества финансового менеджмента </w:t>
      </w:r>
      <w:r>
        <w:rPr>
          <w:color w:val="2D2D2D"/>
          <w:spacing w:val="1"/>
        </w:rPr>
        <w:t xml:space="preserve">ежегодно в соответствии с Порядком </w:t>
      </w:r>
      <w:r>
        <w:rPr>
          <w:color w:val="2D2D2D"/>
          <w:spacing w:val="1"/>
          <w:kern w:val="2"/>
        </w:rPr>
        <w:t xml:space="preserve">проведения мониторинга качества финансового менеджмента в отношении казенных учреждений, подведомственных </w:t>
      </w:r>
      <w:r w:rsidRPr="00CA619A">
        <w:rPr>
          <w:spacing w:val="1"/>
          <w:kern w:val="2"/>
        </w:rPr>
        <w:t>администрации городского округа ЗАТО Светлый, утвержденным постановлением администрации городского округа ЗАТО Светлый от 21 августа 2020 года № 208.</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2.2. Субъект мониторинга обязан:</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соблюдать требования нормативных правовых актов в установленной сфере деятельности;</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 xml:space="preserve">знакомить руководителя или уполномоченное должностное лицо объекта мониторинга с результатами  мониторинга </w:t>
      </w:r>
      <w:r>
        <w:rPr>
          <w:rFonts w:ascii="Times New Roman" w:hAnsi="Times New Roman" w:cs="Times New Roman"/>
          <w:spacing w:val="1"/>
          <w:kern w:val="2"/>
        </w:rPr>
        <w:t>качества финансового менеджмента</w:t>
      </w:r>
      <w:r>
        <w:rPr>
          <w:rFonts w:ascii="Times New Roman" w:hAnsi="Times New Roman" w:cs="Times New Roman"/>
        </w:rPr>
        <w:t>;</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 xml:space="preserve">не допускать к проведению мониторинга </w:t>
      </w:r>
      <w:r>
        <w:rPr>
          <w:rFonts w:ascii="Times New Roman" w:hAnsi="Times New Roman" w:cs="Times New Roman"/>
          <w:spacing w:val="1"/>
          <w:kern w:val="2"/>
        </w:rPr>
        <w:t>качества финансового менеджмента</w:t>
      </w:r>
      <w:r>
        <w:rPr>
          <w:rFonts w:ascii="Times New Roman" w:hAnsi="Times New Roman" w:cs="Times New Roman"/>
        </w:rPr>
        <w:t xml:space="preserve"> должностных лиц субъекта мониторинга, которые в период, подлежащий проверке, организовывали и выполняли внутренние бюджетные процедуры на объекте мониторинга;</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осуществлять хранение как на бумажных, так и на электронных носителях документов и информации Главного администратора бюджетных средств в части выполнения переданных полномочий в соответствии с номенклатурой дел;</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 xml:space="preserve">консультировать объекты мониторинга по вопросам, возникающим в процессе осуществления  мониторинга </w:t>
      </w:r>
      <w:r>
        <w:rPr>
          <w:rFonts w:ascii="Times New Roman" w:hAnsi="Times New Roman" w:cs="Times New Roman"/>
          <w:spacing w:val="1"/>
          <w:kern w:val="2"/>
        </w:rPr>
        <w:t>качества финансового менеджмента</w:t>
      </w:r>
      <w:r>
        <w:rPr>
          <w:rFonts w:ascii="Times New Roman" w:hAnsi="Times New Roman" w:cs="Times New Roman"/>
        </w:rPr>
        <w:t xml:space="preserve">. </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2.3. Субъект мониторинга при осуществлении переданного полномочия имеет право:</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 xml:space="preserve">запрашивать у объектов мониторинга и получать на основании мотивированного запроса документы, материалы и информацию, необходимые для проведения мониторинга </w:t>
      </w:r>
      <w:r>
        <w:rPr>
          <w:rFonts w:ascii="Times New Roman" w:hAnsi="Times New Roman" w:cs="Times New Roman"/>
          <w:spacing w:val="1"/>
          <w:kern w:val="2"/>
        </w:rPr>
        <w:t>качества финансового менеджмента</w:t>
      </w:r>
      <w:r>
        <w:rPr>
          <w:rFonts w:ascii="Times New Roman" w:hAnsi="Times New Roman" w:cs="Times New Roman"/>
        </w:rPr>
        <w:t>;</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привлекать независимых экспертов.</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2.4. Главный администратор бюджетных средств обязан:</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 xml:space="preserve">обеспечить представление объектами мониторинга на основании мотивированного запроса Субъекта мониторинга документов, материалов и информации, необходимых для проведения мониторинга </w:t>
      </w:r>
      <w:r>
        <w:rPr>
          <w:rFonts w:ascii="Times New Roman" w:hAnsi="Times New Roman" w:cs="Times New Roman"/>
          <w:spacing w:val="1"/>
          <w:kern w:val="2"/>
        </w:rPr>
        <w:t>качества финансового менеджмента</w:t>
      </w:r>
      <w:r>
        <w:rPr>
          <w:rFonts w:ascii="Times New Roman" w:hAnsi="Times New Roman" w:cs="Times New Roman"/>
        </w:rPr>
        <w:t>.</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2.5.  Главный администратор бюджетных средств имеет право:</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незамедлительно письменно уведомлять Финансовый орган о несоблюдении обязанностей по Соглашению;</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требовать от Финансового органа своевременного и полного исполнения обязательств по данному Соглашению</w:t>
      </w:r>
      <w:r>
        <w:rPr>
          <w:rFonts w:ascii="Times New Roman" w:hAnsi="Times New Roman" w:cs="Times New Roman"/>
          <w:i/>
          <w:iCs/>
        </w:rPr>
        <w:t>.</w:t>
      </w:r>
    </w:p>
    <w:p w:rsidR="00354273" w:rsidRDefault="00354273">
      <w:pPr>
        <w:pStyle w:val="ConsPlusNormal"/>
        <w:tabs>
          <w:tab w:val="left" w:pos="1418"/>
        </w:tabs>
        <w:spacing w:line="276" w:lineRule="auto"/>
        <w:ind w:firstLine="567"/>
        <w:jc w:val="both"/>
        <w:rPr>
          <w:rFonts w:ascii="Times New Roman" w:hAnsi="Times New Roman" w:cs="Times New Roman"/>
        </w:rPr>
      </w:pPr>
    </w:p>
    <w:p w:rsidR="00354273" w:rsidRDefault="00354273">
      <w:pPr>
        <w:pStyle w:val="ConsPlusNormal"/>
        <w:tabs>
          <w:tab w:val="left" w:pos="1418"/>
        </w:tabs>
        <w:spacing w:line="276" w:lineRule="auto"/>
        <w:jc w:val="center"/>
        <w:rPr>
          <w:rFonts w:cs="Times New Roman"/>
        </w:rPr>
      </w:pPr>
      <w:r>
        <w:rPr>
          <w:rFonts w:ascii="Times New Roman" w:hAnsi="Times New Roman" w:cs="Times New Roman"/>
        </w:rPr>
        <w:t>3. Ответственность Сторон и порядок разрешения споров</w:t>
      </w:r>
    </w:p>
    <w:p w:rsidR="00354273" w:rsidRDefault="00354273">
      <w:pPr>
        <w:pStyle w:val="ConsPlusNormal"/>
        <w:tabs>
          <w:tab w:val="left" w:pos="1418"/>
        </w:tabs>
        <w:spacing w:line="276" w:lineRule="auto"/>
        <w:ind w:firstLine="567"/>
        <w:jc w:val="both"/>
        <w:rPr>
          <w:rFonts w:ascii="Times New Roman" w:hAnsi="Times New Roman" w:cs="Times New Roman"/>
        </w:rPr>
      </w:pP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3.1. Ответственность Сторон по настоящему Соглашению определяется законодательством Российской Федерации, настоящим Соглашением.</w:t>
      </w:r>
    </w:p>
    <w:p w:rsidR="00354273" w:rsidRDefault="00354273">
      <w:pPr>
        <w:pStyle w:val="ConsPlusNormal"/>
        <w:tabs>
          <w:tab w:val="left" w:pos="1418"/>
        </w:tabs>
        <w:spacing w:line="276" w:lineRule="auto"/>
        <w:ind w:firstLine="737"/>
        <w:jc w:val="both"/>
        <w:rPr>
          <w:rFonts w:cs="Times New Roman"/>
        </w:rPr>
      </w:pPr>
      <w:r>
        <w:rPr>
          <w:rFonts w:ascii="Times New Roman" w:hAnsi="Times New Roman" w:cs="Times New Roman"/>
        </w:rPr>
        <w:t xml:space="preserve">3.2. Ответственность за организацию мониторинга </w:t>
      </w:r>
      <w:r>
        <w:rPr>
          <w:rFonts w:ascii="Times New Roman" w:hAnsi="Times New Roman" w:cs="Times New Roman"/>
          <w:spacing w:val="1"/>
          <w:kern w:val="2"/>
        </w:rPr>
        <w:t xml:space="preserve">качества финансового менеджмента </w:t>
      </w:r>
      <w:r>
        <w:rPr>
          <w:rFonts w:ascii="Times New Roman" w:hAnsi="Times New Roman" w:cs="Times New Roman"/>
        </w:rPr>
        <w:t>у Главного администратора бюджетных средств несет руководитель Главного администратора бюджетных средств.</w:t>
      </w:r>
    </w:p>
    <w:p w:rsidR="00354273" w:rsidRDefault="00354273">
      <w:pPr>
        <w:pStyle w:val="ConsPlusNormal"/>
        <w:tabs>
          <w:tab w:val="left" w:pos="1418"/>
        </w:tabs>
        <w:spacing w:line="276" w:lineRule="auto"/>
        <w:ind w:firstLine="737"/>
        <w:jc w:val="both"/>
        <w:rPr>
          <w:rFonts w:cs="Times New Roman"/>
        </w:rPr>
      </w:pPr>
      <w:r>
        <w:rPr>
          <w:rFonts w:ascii="Times New Roman" w:hAnsi="Times New Roman" w:cs="Times New Roman"/>
        </w:rPr>
        <w:t xml:space="preserve">3.3. Ответственность за осуществление мониторинга </w:t>
      </w:r>
      <w:r>
        <w:rPr>
          <w:rFonts w:ascii="Times New Roman" w:hAnsi="Times New Roman" w:cs="Times New Roman"/>
          <w:spacing w:val="1"/>
          <w:kern w:val="2"/>
        </w:rPr>
        <w:t>качества финансового менеджмента</w:t>
      </w:r>
      <w:r>
        <w:rPr>
          <w:rFonts w:ascii="Times New Roman" w:hAnsi="Times New Roman" w:cs="Times New Roman"/>
        </w:rPr>
        <w:t xml:space="preserve"> у Главного администратора бюджетных средств несет руководитель Финансового органа.</w:t>
      </w:r>
    </w:p>
    <w:p w:rsidR="00354273" w:rsidRDefault="00354273">
      <w:pPr>
        <w:pStyle w:val="ConsPlusNormal"/>
        <w:tabs>
          <w:tab w:val="left" w:pos="1418"/>
        </w:tabs>
        <w:spacing w:line="276" w:lineRule="auto"/>
        <w:ind w:firstLine="737"/>
        <w:jc w:val="both"/>
        <w:rPr>
          <w:rFonts w:cs="Times New Roman"/>
        </w:rPr>
      </w:pPr>
      <w:r>
        <w:rPr>
          <w:rFonts w:ascii="Times New Roman" w:hAnsi="Times New Roman" w:cs="Times New Roman"/>
        </w:rPr>
        <w:t xml:space="preserve">3.4. Споры и разногласия, возникающие в отношении осуществления мониторинга </w:t>
      </w:r>
      <w:r>
        <w:rPr>
          <w:rFonts w:ascii="Times New Roman" w:hAnsi="Times New Roman" w:cs="Times New Roman"/>
          <w:spacing w:val="1"/>
          <w:kern w:val="2"/>
        </w:rPr>
        <w:t>качества финансового менеджмента</w:t>
      </w:r>
      <w:r>
        <w:rPr>
          <w:rFonts w:ascii="Times New Roman" w:hAnsi="Times New Roman" w:cs="Times New Roman"/>
        </w:rPr>
        <w:t>, а также вследствие неисполнения или ненадлежащего исполнения Сторонами обязательств по настоящему Соглашению, разрешаются путем переговоров.</w:t>
      </w:r>
    </w:p>
    <w:p w:rsidR="00354273" w:rsidRDefault="00354273">
      <w:pPr>
        <w:pStyle w:val="ConsPlusNormal"/>
        <w:tabs>
          <w:tab w:val="left" w:pos="1418"/>
        </w:tabs>
        <w:spacing w:line="276" w:lineRule="auto"/>
        <w:ind w:firstLine="737"/>
        <w:jc w:val="both"/>
        <w:rPr>
          <w:rFonts w:ascii="Times New Roman" w:hAnsi="Times New Roman" w:cs="Times New Roman"/>
        </w:rPr>
      </w:pPr>
      <w:r>
        <w:rPr>
          <w:rFonts w:ascii="Times New Roman" w:hAnsi="Times New Roman" w:cs="Times New Roman"/>
        </w:rPr>
        <w:t>3.5.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354273" w:rsidRDefault="00354273">
      <w:pPr>
        <w:widowControl w:val="0"/>
        <w:spacing w:line="276" w:lineRule="auto"/>
        <w:jc w:val="center"/>
        <w:outlineLvl w:val="0"/>
      </w:pPr>
      <w:r>
        <w:t xml:space="preserve">4. Срок действия Соглашения </w:t>
      </w:r>
    </w:p>
    <w:p w:rsidR="00354273" w:rsidRDefault="00354273">
      <w:pPr>
        <w:widowControl w:val="0"/>
        <w:spacing w:line="276" w:lineRule="auto"/>
        <w:ind w:firstLine="737"/>
      </w:pPr>
    </w:p>
    <w:p w:rsidR="00354273" w:rsidRDefault="00354273">
      <w:pPr>
        <w:widowControl w:val="0"/>
        <w:spacing w:line="276" w:lineRule="auto"/>
        <w:ind w:firstLine="737"/>
      </w:pPr>
      <w:r>
        <w:t>4.1. Соглашение вступает в силу с 1 сентября 2020 года и заключено на неопределенный срок.</w:t>
      </w:r>
    </w:p>
    <w:p w:rsidR="00354273" w:rsidRDefault="00354273">
      <w:pPr>
        <w:widowControl w:val="0"/>
        <w:spacing w:line="276" w:lineRule="auto"/>
        <w:ind w:firstLine="737"/>
      </w:pPr>
      <w:r>
        <w:t>4.2.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354273" w:rsidRDefault="00354273">
      <w:pPr>
        <w:widowControl w:val="0"/>
        <w:spacing w:line="276" w:lineRule="auto"/>
        <w:ind w:firstLine="737"/>
      </w:pPr>
      <w:r>
        <w:t xml:space="preserve">4.3. Соглашение прекращает действие на основании письменного обращения Главного администратора бюджетных средств об отказе в передаче полномочий Финансовому органу по осуществлению мониторинга </w:t>
      </w:r>
      <w:r>
        <w:rPr>
          <w:spacing w:val="1"/>
          <w:kern w:val="2"/>
        </w:rPr>
        <w:t>качества финансового менеджмента</w:t>
      </w:r>
      <w:r>
        <w:t>.</w:t>
      </w:r>
    </w:p>
    <w:p w:rsidR="00354273" w:rsidRDefault="00354273">
      <w:pPr>
        <w:widowControl w:val="0"/>
        <w:spacing w:line="276" w:lineRule="auto"/>
        <w:ind w:firstLine="737"/>
      </w:pPr>
      <w:r>
        <w:t>4.4. Расторжение настоящего Соглашения оформляется в виде дополнительного соглашения о расторжении настоящего Соглашения.</w:t>
      </w:r>
    </w:p>
    <w:p w:rsidR="00354273" w:rsidRDefault="00354273">
      <w:pPr>
        <w:widowControl w:val="0"/>
        <w:spacing w:line="276" w:lineRule="auto"/>
        <w:jc w:val="center"/>
        <w:outlineLvl w:val="0"/>
      </w:pPr>
    </w:p>
    <w:p w:rsidR="00354273" w:rsidRDefault="00354273">
      <w:pPr>
        <w:widowControl w:val="0"/>
        <w:spacing w:line="276" w:lineRule="auto"/>
        <w:jc w:val="center"/>
        <w:outlineLvl w:val="0"/>
      </w:pPr>
      <w:r>
        <w:t>5. Подписи Сторон</w:t>
      </w:r>
    </w:p>
    <w:p w:rsidR="00354273" w:rsidRDefault="00354273">
      <w:pPr>
        <w:widowControl w:val="0"/>
        <w:spacing w:line="276" w:lineRule="auto"/>
        <w:jc w:val="center"/>
        <w:outlineLvl w:val="0"/>
      </w:pPr>
    </w:p>
    <w:tbl>
      <w:tblPr>
        <w:tblW w:w="9258" w:type="dxa"/>
        <w:tblInd w:w="2" w:type="dxa"/>
        <w:tblLook w:val="00A0"/>
      </w:tblPr>
      <w:tblGrid>
        <w:gridCol w:w="4500"/>
        <w:gridCol w:w="540"/>
        <w:gridCol w:w="4218"/>
      </w:tblGrid>
      <w:tr w:rsidR="00354273" w:rsidTr="002C44B1">
        <w:tc>
          <w:tcPr>
            <w:tcW w:w="4500" w:type="dxa"/>
          </w:tcPr>
          <w:p w:rsidR="00354273" w:rsidRDefault="00354273" w:rsidP="002C44B1">
            <w:pPr>
              <w:widowControl w:val="0"/>
              <w:spacing w:line="276" w:lineRule="auto"/>
              <w:ind w:right="420"/>
              <w:jc w:val="center"/>
              <w:outlineLvl w:val="0"/>
            </w:pPr>
            <w:r>
              <w:t>Главный администратор</w:t>
            </w:r>
          </w:p>
          <w:p w:rsidR="00354273" w:rsidRDefault="00354273" w:rsidP="002C44B1">
            <w:pPr>
              <w:widowControl w:val="0"/>
              <w:spacing w:line="276" w:lineRule="auto"/>
              <w:ind w:right="420"/>
              <w:jc w:val="center"/>
              <w:outlineLvl w:val="0"/>
            </w:pPr>
            <w:r>
              <w:t>бюджетных средств</w:t>
            </w:r>
          </w:p>
        </w:tc>
        <w:tc>
          <w:tcPr>
            <w:tcW w:w="540" w:type="dxa"/>
          </w:tcPr>
          <w:p w:rsidR="00354273" w:rsidRDefault="00354273">
            <w:pPr>
              <w:widowControl w:val="0"/>
              <w:spacing w:line="276" w:lineRule="auto"/>
              <w:ind w:right="420" w:firstLine="709"/>
              <w:jc w:val="center"/>
              <w:outlineLvl w:val="0"/>
            </w:pPr>
          </w:p>
        </w:tc>
        <w:tc>
          <w:tcPr>
            <w:tcW w:w="4218" w:type="dxa"/>
          </w:tcPr>
          <w:p w:rsidR="00354273" w:rsidRDefault="00354273" w:rsidP="002C44B1">
            <w:pPr>
              <w:widowControl w:val="0"/>
              <w:spacing w:line="276" w:lineRule="auto"/>
              <w:ind w:right="420"/>
              <w:jc w:val="center"/>
              <w:outlineLvl w:val="0"/>
            </w:pPr>
            <w:r>
              <w:t>Финансовый орган</w:t>
            </w:r>
          </w:p>
          <w:p w:rsidR="00354273" w:rsidRDefault="00354273">
            <w:pPr>
              <w:widowControl w:val="0"/>
              <w:spacing w:line="276" w:lineRule="auto"/>
              <w:ind w:right="420"/>
              <w:jc w:val="center"/>
              <w:outlineLvl w:val="0"/>
            </w:pPr>
          </w:p>
        </w:tc>
      </w:tr>
      <w:tr w:rsidR="00354273" w:rsidTr="002C44B1">
        <w:tc>
          <w:tcPr>
            <w:tcW w:w="4500" w:type="dxa"/>
          </w:tcPr>
          <w:p w:rsidR="00354273" w:rsidRDefault="00354273">
            <w:pPr>
              <w:widowControl w:val="0"/>
              <w:spacing w:line="276" w:lineRule="auto"/>
              <w:ind w:right="420"/>
              <w:jc w:val="center"/>
              <w:outlineLvl w:val="0"/>
            </w:pPr>
          </w:p>
        </w:tc>
        <w:tc>
          <w:tcPr>
            <w:tcW w:w="540" w:type="dxa"/>
          </w:tcPr>
          <w:p w:rsidR="00354273" w:rsidRDefault="00354273">
            <w:pPr>
              <w:widowControl w:val="0"/>
              <w:spacing w:line="276" w:lineRule="auto"/>
              <w:ind w:right="420" w:firstLine="709"/>
              <w:jc w:val="center"/>
              <w:outlineLvl w:val="0"/>
            </w:pPr>
          </w:p>
        </w:tc>
        <w:tc>
          <w:tcPr>
            <w:tcW w:w="4218" w:type="dxa"/>
          </w:tcPr>
          <w:p w:rsidR="00354273" w:rsidRDefault="00354273">
            <w:pPr>
              <w:widowControl w:val="0"/>
              <w:spacing w:line="276" w:lineRule="auto"/>
              <w:ind w:right="420"/>
              <w:jc w:val="center"/>
              <w:outlineLvl w:val="0"/>
            </w:pPr>
          </w:p>
        </w:tc>
      </w:tr>
      <w:tr w:rsidR="00354273" w:rsidTr="002C44B1">
        <w:tc>
          <w:tcPr>
            <w:tcW w:w="4500" w:type="dxa"/>
          </w:tcPr>
          <w:p w:rsidR="00354273" w:rsidRDefault="00354273">
            <w:pPr>
              <w:widowControl w:val="0"/>
              <w:spacing w:line="276" w:lineRule="auto"/>
              <w:ind w:right="420"/>
              <w:jc w:val="center"/>
              <w:outlineLvl w:val="0"/>
            </w:pPr>
            <w:r>
              <w:t>Временно исполняющий полномочия главы</w:t>
            </w:r>
          </w:p>
          <w:p w:rsidR="00354273" w:rsidRDefault="00354273">
            <w:pPr>
              <w:widowControl w:val="0"/>
              <w:spacing w:line="276" w:lineRule="auto"/>
              <w:ind w:right="420"/>
              <w:jc w:val="center"/>
              <w:outlineLvl w:val="0"/>
            </w:pPr>
            <w:r>
              <w:t>городского округа</w:t>
            </w:r>
          </w:p>
          <w:p w:rsidR="00354273" w:rsidRDefault="00354273">
            <w:pPr>
              <w:widowControl w:val="0"/>
              <w:spacing w:line="276" w:lineRule="auto"/>
              <w:ind w:right="420"/>
              <w:jc w:val="center"/>
              <w:outlineLvl w:val="0"/>
            </w:pPr>
            <w:r>
              <w:t>ЗАТО Светлый</w:t>
            </w:r>
          </w:p>
        </w:tc>
        <w:tc>
          <w:tcPr>
            <w:tcW w:w="540" w:type="dxa"/>
          </w:tcPr>
          <w:p w:rsidR="00354273" w:rsidRDefault="00354273">
            <w:pPr>
              <w:widowControl w:val="0"/>
              <w:spacing w:line="276" w:lineRule="auto"/>
              <w:ind w:right="420" w:firstLine="709"/>
              <w:jc w:val="center"/>
              <w:outlineLvl w:val="0"/>
            </w:pPr>
          </w:p>
        </w:tc>
        <w:tc>
          <w:tcPr>
            <w:tcW w:w="4218" w:type="dxa"/>
          </w:tcPr>
          <w:p w:rsidR="00354273" w:rsidRDefault="00354273" w:rsidP="002C44B1">
            <w:pPr>
              <w:widowControl w:val="0"/>
              <w:spacing w:line="276" w:lineRule="auto"/>
              <w:ind w:right="-82"/>
              <w:jc w:val="center"/>
              <w:outlineLvl w:val="0"/>
            </w:pPr>
            <w:r>
              <w:t>Начальник управления</w:t>
            </w:r>
          </w:p>
          <w:p w:rsidR="00354273" w:rsidRDefault="00354273" w:rsidP="002C44B1">
            <w:pPr>
              <w:widowControl w:val="0"/>
              <w:spacing w:line="276" w:lineRule="auto"/>
              <w:ind w:right="-82"/>
              <w:jc w:val="center"/>
              <w:outlineLvl w:val="0"/>
            </w:pPr>
            <w:r>
              <w:t xml:space="preserve">финансов и экономического развития администрации городского округа </w:t>
            </w:r>
          </w:p>
          <w:p w:rsidR="00354273" w:rsidRDefault="00354273" w:rsidP="002C44B1">
            <w:pPr>
              <w:widowControl w:val="0"/>
              <w:spacing w:line="276" w:lineRule="auto"/>
              <w:ind w:right="-82"/>
              <w:jc w:val="center"/>
              <w:outlineLvl w:val="0"/>
            </w:pPr>
            <w:r>
              <w:t>ЗАТО Светлый</w:t>
            </w:r>
          </w:p>
        </w:tc>
      </w:tr>
      <w:tr w:rsidR="00354273" w:rsidTr="002C44B1">
        <w:tc>
          <w:tcPr>
            <w:tcW w:w="4500" w:type="dxa"/>
          </w:tcPr>
          <w:p w:rsidR="00354273" w:rsidRDefault="00354273">
            <w:pPr>
              <w:widowControl w:val="0"/>
              <w:spacing w:line="276" w:lineRule="auto"/>
              <w:ind w:right="420"/>
              <w:jc w:val="center"/>
              <w:outlineLvl w:val="0"/>
            </w:pPr>
          </w:p>
          <w:p w:rsidR="00354273" w:rsidRDefault="00354273" w:rsidP="002C44B1">
            <w:pPr>
              <w:widowControl w:val="0"/>
              <w:tabs>
                <w:tab w:val="left" w:pos="4284"/>
              </w:tabs>
              <w:spacing w:line="276" w:lineRule="auto"/>
              <w:ind w:right="420"/>
              <w:jc w:val="center"/>
              <w:outlineLvl w:val="0"/>
            </w:pPr>
            <w:r>
              <w:t>____________ О.Н. Шандыбина</w:t>
            </w:r>
          </w:p>
        </w:tc>
        <w:tc>
          <w:tcPr>
            <w:tcW w:w="540" w:type="dxa"/>
          </w:tcPr>
          <w:p w:rsidR="00354273" w:rsidRDefault="00354273">
            <w:pPr>
              <w:widowControl w:val="0"/>
              <w:spacing w:line="276" w:lineRule="auto"/>
              <w:ind w:right="420" w:firstLine="709"/>
              <w:jc w:val="center"/>
              <w:outlineLvl w:val="0"/>
            </w:pPr>
          </w:p>
        </w:tc>
        <w:tc>
          <w:tcPr>
            <w:tcW w:w="4218" w:type="dxa"/>
          </w:tcPr>
          <w:p w:rsidR="00354273" w:rsidRDefault="00354273" w:rsidP="002C44B1">
            <w:pPr>
              <w:widowControl w:val="0"/>
              <w:spacing w:line="276" w:lineRule="auto"/>
              <w:ind w:right="420"/>
              <w:jc w:val="center"/>
              <w:outlineLvl w:val="0"/>
            </w:pPr>
          </w:p>
          <w:p w:rsidR="00354273" w:rsidRDefault="00354273" w:rsidP="002C44B1">
            <w:pPr>
              <w:widowControl w:val="0"/>
              <w:spacing w:line="276" w:lineRule="auto"/>
              <w:ind w:right="420"/>
              <w:jc w:val="center"/>
              <w:outlineLvl w:val="0"/>
            </w:pPr>
            <w:r>
              <w:t>_________ Ю.И. Кравченко</w:t>
            </w:r>
          </w:p>
        </w:tc>
      </w:tr>
      <w:tr w:rsidR="00354273" w:rsidTr="002C44B1">
        <w:tc>
          <w:tcPr>
            <w:tcW w:w="4500" w:type="dxa"/>
          </w:tcPr>
          <w:p w:rsidR="00354273" w:rsidRDefault="00354273">
            <w:pPr>
              <w:widowControl w:val="0"/>
              <w:spacing w:line="276" w:lineRule="auto"/>
              <w:ind w:right="420"/>
              <w:jc w:val="center"/>
              <w:outlineLvl w:val="0"/>
            </w:pPr>
          </w:p>
        </w:tc>
        <w:tc>
          <w:tcPr>
            <w:tcW w:w="540" w:type="dxa"/>
          </w:tcPr>
          <w:p w:rsidR="00354273" w:rsidRDefault="00354273">
            <w:pPr>
              <w:widowControl w:val="0"/>
              <w:spacing w:line="276" w:lineRule="auto"/>
              <w:ind w:right="420" w:firstLine="709"/>
              <w:jc w:val="center"/>
              <w:outlineLvl w:val="0"/>
            </w:pPr>
          </w:p>
        </w:tc>
        <w:tc>
          <w:tcPr>
            <w:tcW w:w="4218" w:type="dxa"/>
          </w:tcPr>
          <w:p w:rsidR="00354273" w:rsidRDefault="00354273">
            <w:pPr>
              <w:widowControl w:val="0"/>
              <w:spacing w:line="276" w:lineRule="auto"/>
              <w:ind w:right="420"/>
              <w:jc w:val="center"/>
              <w:outlineLvl w:val="0"/>
            </w:pPr>
          </w:p>
        </w:tc>
      </w:tr>
      <w:tr w:rsidR="00354273" w:rsidTr="002C44B1">
        <w:tc>
          <w:tcPr>
            <w:tcW w:w="4500" w:type="dxa"/>
          </w:tcPr>
          <w:p w:rsidR="00354273" w:rsidRDefault="00354273">
            <w:pPr>
              <w:widowControl w:val="0"/>
              <w:spacing w:line="276" w:lineRule="auto"/>
              <w:ind w:right="420"/>
              <w:jc w:val="center"/>
              <w:outlineLvl w:val="0"/>
            </w:pPr>
          </w:p>
        </w:tc>
        <w:tc>
          <w:tcPr>
            <w:tcW w:w="540" w:type="dxa"/>
          </w:tcPr>
          <w:p w:rsidR="00354273" w:rsidRDefault="00354273">
            <w:pPr>
              <w:widowControl w:val="0"/>
              <w:spacing w:line="276" w:lineRule="auto"/>
              <w:ind w:right="420" w:firstLine="709"/>
              <w:jc w:val="center"/>
              <w:outlineLvl w:val="0"/>
            </w:pPr>
          </w:p>
        </w:tc>
        <w:tc>
          <w:tcPr>
            <w:tcW w:w="4218" w:type="dxa"/>
          </w:tcPr>
          <w:p w:rsidR="00354273" w:rsidRDefault="00354273">
            <w:pPr>
              <w:widowControl w:val="0"/>
              <w:spacing w:line="276" w:lineRule="auto"/>
              <w:jc w:val="center"/>
              <w:outlineLvl w:val="0"/>
            </w:pPr>
          </w:p>
        </w:tc>
      </w:tr>
      <w:tr w:rsidR="00354273" w:rsidTr="002C44B1">
        <w:tc>
          <w:tcPr>
            <w:tcW w:w="4500" w:type="dxa"/>
          </w:tcPr>
          <w:p w:rsidR="00354273" w:rsidRDefault="00354273">
            <w:pPr>
              <w:widowControl w:val="0"/>
              <w:spacing w:line="276" w:lineRule="auto"/>
              <w:ind w:right="420"/>
              <w:jc w:val="center"/>
              <w:outlineLvl w:val="0"/>
            </w:pPr>
          </w:p>
        </w:tc>
        <w:tc>
          <w:tcPr>
            <w:tcW w:w="540" w:type="dxa"/>
          </w:tcPr>
          <w:p w:rsidR="00354273" w:rsidRDefault="00354273">
            <w:pPr>
              <w:widowControl w:val="0"/>
              <w:spacing w:line="276" w:lineRule="auto"/>
              <w:ind w:right="420" w:firstLine="709"/>
              <w:jc w:val="center"/>
              <w:outlineLvl w:val="0"/>
            </w:pPr>
          </w:p>
        </w:tc>
        <w:tc>
          <w:tcPr>
            <w:tcW w:w="4218" w:type="dxa"/>
          </w:tcPr>
          <w:p w:rsidR="00354273" w:rsidRDefault="00354273">
            <w:pPr>
              <w:widowControl w:val="0"/>
              <w:spacing w:line="276" w:lineRule="auto"/>
              <w:jc w:val="center"/>
              <w:outlineLvl w:val="0"/>
            </w:pPr>
          </w:p>
        </w:tc>
      </w:tr>
    </w:tbl>
    <w:p w:rsidR="00354273" w:rsidRDefault="00354273">
      <w:pPr>
        <w:widowControl w:val="0"/>
        <w:spacing w:before="280" w:line="276" w:lineRule="auto"/>
        <w:ind w:firstLine="540"/>
      </w:pPr>
    </w:p>
    <w:sectPr w:rsidR="00354273" w:rsidSect="002C44B1">
      <w:headerReference w:type="default" r:id="rId7"/>
      <w:pgSz w:w="11906" w:h="16838"/>
      <w:pgMar w:top="851" w:right="851" w:bottom="851" w:left="1701" w:header="425"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273" w:rsidRDefault="00354273" w:rsidP="00C41EA9">
      <w:pPr>
        <w:spacing w:line="240" w:lineRule="auto"/>
      </w:pPr>
      <w:r>
        <w:separator/>
      </w:r>
    </w:p>
  </w:endnote>
  <w:endnote w:type="continuationSeparator" w:id="1">
    <w:p w:rsidR="00354273" w:rsidRDefault="00354273" w:rsidP="00C41E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273" w:rsidRDefault="00354273" w:rsidP="00C41EA9">
      <w:pPr>
        <w:spacing w:line="240" w:lineRule="auto"/>
      </w:pPr>
      <w:r>
        <w:separator/>
      </w:r>
    </w:p>
  </w:footnote>
  <w:footnote w:type="continuationSeparator" w:id="1">
    <w:p w:rsidR="00354273" w:rsidRDefault="00354273" w:rsidP="00C41EA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73" w:rsidRDefault="00354273" w:rsidP="005840F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54273" w:rsidRDefault="0035427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F4503"/>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486E768D"/>
    <w:multiLevelType w:val="multilevel"/>
    <w:tmpl w:val="FFFFFFFF"/>
    <w:lvl w:ilvl="0">
      <w:start w:val="1"/>
      <w:numFmt w:val="decimal"/>
      <w:lvlText w:val="%1."/>
      <w:lvlJc w:val="left"/>
      <w:pPr>
        <w:ind w:left="1245" w:hanging="1245"/>
      </w:pPr>
    </w:lvl>
    <w:lvl w:ilvl="1">
      <w:start w:val="1"/>
      <w:numFmt w:val="decimal"/>
      <w:lvlText w:val="%1.%2."/>
      <w:lvlJc w:val="left"/>
      <w:pPr>
        <w:ind w:left="1954" w:hanging="1245"/>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EA9"/>
    <w:rsid w:val="001F79E3"/>
    <w:rsid w:val="00257093"/>
    <w:rsid w:val="002C44B1"/>
    <w:rsid w:val="00354273"/>
    <w:rsid w:val="00414647"/>
    <w:rsid w:val="004A5B4B"/>
    <w:rsid w:val="004B0BCE"/>
    <w:rsid w:val="005840F1"/>
    <w:rsid w:val="00682E6D"/>
    <w:rsid w:val="007555B4"/>
    <w:rsid w:val="007861E8"/>
    <w:rsid w:val="00850B9E"/>
    <w:rsid w:val="008F0DE1"/>
    <w:rsid w:val="009753E8"/>
    <w:rsid w:val="00BB47A3"/>
    <w:rsid w:val="00C41EA9"/>
    <w:rsid w:val="00CA619A"/>
    <w:rsid w:val="00DC1636"/>
    <w:rsid w:val="00E06E55"/>
    <w:rsid w:val="00EB4338"/>
    <w:rsid w:val="00ED2E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647"/>
    <w:pPr>
      <w:spacing w:line="360" w:lineRule="atLeast"/>
      <w:jc w:val="both"/>
    </w:pPr>
    <w:rPr>
      <w:rFonts w:ascii="Times New Roman" w:eastAsia="Times New Roman" w:hAnsi="Times New Roman"/>
      <w:sz w:val="28"/>
      <w:szCs w:val="28"/>
    </w:rPr>
  </w:style>
  <w:style w:type="paragraph" w:styleId="Heading3">
    <w:name w:val="heading 3"/>
    <w:basedOn w:val="a"/>
    <w:link w:val="Heading3Char"/>
    <w:uiPriority w:val="99"/>
    <w:qFormat/>
    <w:rsid w:val="00C41EA9"/>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F0DE1"/>
    <w:rPr>
      <w:rFonts w:ascii="Cambria" w:hAnsi="Cambria" w:cs="Cambria"/>
      <w:b/>
      <w:bCs/>
      <w:sz w:val="26"/>
      <w:szCs w:val="26"/>
    </w:rPr>
  </w:style>
  <w:style w:type="character" w:customStyle="1" w:styleId="HeaderChar">
    <w:name w:val="Header Char"/>
    <w:basedOn w:val="DefaultParagraphFont"/>
    <w:link w:val="Header"/>
    <w:uiPriority w:val="99"/>
    <w:locked/>
    <w:rsid w:val="00414647"/>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414647"/>
    <w:rPr>
      <w:rFonts w:ascii="Times New Roman" w:hAnsi="Times New Roman" w:cs="Times New Roman"/>
      <w:sz w:val="20"/>
      <w:szCs w:val="20"/>
      <w:lang w:eastAsia="ru-RU"/>
    </w:rPr>
  </w:style>
  <w:style w:type="paragraph" w:customStyle="1" w:styleId="a">
    <w:name w:val="Заголовок"/>
    <w:basedOn w:val="Normal"/>
    <w:next w:val="BodyText"/>
    <w:uiPriority w:val="99"/>
    <w:rsid w:val="00C41EA9"/>
    <w:pPr>
      <w:keepNext/>
      <w:spacing w:before="240" w:after="120"/>
    </w:pPr>
    <w:rPr>
      <w:rFonts w:ascii="Liberation Sans" w:eastAsia="Microsoft YaHei" w:hAnsi="Liberation Sans" w:cs="Liberation Sans"/>
    </w:rPr>
  </w:style>
  <w:style w:type="paragraph" w:styleId="BodyText">
    <w:name w:val="Body Text"/>
    <w:basedOn w:val="Normal"/>
    <w:link w:val="BodyTextChar"/>
    <w:uiPriority w:val="99"/>
    <w:rsid w:val="00C41EA9"/>
    <w:pPr>
      <w:spacing w:after="140" w:line="288" w:lineRule="auto"/>
    </w:pPr>
  </w:style>
  <w:style w:type="character" w:customStyle="1" w:styleId="BodyTextChar">
    <w:name w:val="Body Text Char"/>
    <w:basedOn w:val="DefaultParagraphFont"/>
    <w:link w:val="BodyText"/>
    <w:uiPriority w:val="99"/>
    <w:semiHidden/>
    <w:locked/>
    <w:rsid w:val="008F0DE1"/>
    <w:rPr>
      <w:rFonts w:ascii="Times New Roman" w:hAnsi="Times New Roman" w:cs="Times New Roman"/>
      <w:sz w:val="28"/>
      <w:szCs w:val="28"/>
    </w:rPr>
  </w:style>
  <w:style w:type="paragraph" w:styleId="List">
    <w:name w:val="List"/>
    <w:basedOn w:val="BodyText"/>
    <w:uiPriority w:val="99"/>
    <w:rsid w:val="00C41EA9"/>
  </w:style>
  <w:style w:type="paragraph" w:styleId="Caption">
    <w:name w:val="caption"/>
    <w:basedOn w:val="Normal"/>
    <w:uiPriority w:val="99"/>
    <w:qFormat/>
    <w:rsid w:val="00C41EA9"/>
    <w:pPr>
      <w:suppressLineNumbers/>
      <w:spacing w:before="120" w:after="120"/>
    </w:pPr>
    <w:rPr>
      <w:i/>
      <w:iCs/>
      <w:sz w:val="24"/>
      <w:szCs w:val="24"/>
    </w:rPr>
  </w:style>
  <w:style w:type="paragraph" w:styleId="Index1">
    <w:name w:val="index 1"/>
    <w:basedOn w:val="Normal"/>
    <w:next w:val="Normal"/>
    <w:autoRedefine/>
    <w:uiPriority w:val="99"/>
    <w:semiHidden/>
    <w:rsid w:val="00414647"/>
    <w:pPr>
      <w:ind w:left="280" w:hanging="280"/>
    </w:pPr>
  </w:style>
  <w:style w:type="paragraph" w:styleId="IndexHeading">
    <w:name w:val="index heading"/>
    <w:basedOn w:val="Normal"/>
    <w:uiPriority w:val="99"/>
    <w:semiHidden/>
    <w:rsid w:val="00C41EA9"/>
    <w:pPr>
      <w:suppressLineNumbers/>
    </w:pPr>
  </w:style>
  <w:style w:type="paragraph" w:customStyle="1" w:styleId="ConsPlusNormal">
    <w:name w:val="ConsPlusNormal"/>
    <w:uiPriority w:val="99"/>
    <w:rsid w:val="00414647"/>
    <w:pPr>
      <w:widowControl w:val="0"/>
    </w:pPr>
    <w:rPr>
      <w:rFonts w:eastAsia="Times New Roman" w:cs="Calibri"/>
      <w:sz w:val="28"/>
      <w:szCs w:val="28"/>
    </w:rPr>
  </w:style>
  <w:style w:type="paragraph" w:customStyle="1" w:styleId="ConsPlusNonformat">
    <w:name w:val="ConsPlusNonformat"/>
    <w:uiPriority w:val="99"/>
    <w:rsid w:val="00414647"/>
    <w:pPr>
      <w:widowControl w:val="0"/>
    </w:pPr>
    <w:rPr>
      <w:rFonts w:ascii="Courier New" w:eastAsia="Times New Roman" w:hAnsi="Courier New" w:cs="Courier New"/>
      <w:sz w:val="20"/>
      <w:szCs w:val="20"/>
    </w:rPr>
  </w:style>
  <w:style w:type="paragraph" w:customStyle="1" w:styleId="ConsPlusTitlePage">
    <w:name w:val="ConsPlusTitlePage"/>
    <w:uiPriority w:val="99"/>
    <w:rsid w:val="00414647"/>
    <w:pPr>
      <w:widowControl w:val="0"/>
    </w:pPr>
    <w:rPr>
      <w:rFonts w:ascii="Tahoma" w:eastAsia="Times New Roman" w:hAnsi="Tahoma" w:cs="Tahoma"/>
      <w:sz w:val="20"/>
      <w:szCs w:val="20"/>
    </w:rPr>
  </w:style>
  <w:style w:type="paragraph" w:styleId="ListParagraph">
    <w:name w:val="List Paragraph"/>
    <w:basedOn w:val="Normal"/>
    <w:uiPriority w:val="99"/>
    <w:qFormat/>
    <w:rsid w:val="00414647"/>
    <w:pPr>
      <w:ind w:left="720"/>
    </w:pPr>
  </w:style>
  <w:style w:type="paragraph" w:styleId="Header">
    <w:name w:val="header"/>
    <w:basedOn w:val="Normal"/>
    <w:link w:val="HeaderChar"/>
    <w:uiPriority w:val="99"/>
    <w:rsid w:val="00414647"/>
    <w:pPr>
      <w:tabs>
        <w:tab w:val="center" w:pos="4677"/>
        <w:tab w:val="right" w:pos="9355"/>
      </w:tabs>
      <w:spacing w:line="240" w:lineRule="auto"/>
    </w:pPr>
  </w:style>
  <w:style w:type="character" w:customStyle="1" w:styleId="HeaderChar1">
    <w:name w:val="Header Char1"/>
    <w:basedOn w:val="DefaultParagraphFont"/>
    <w:link w:val="Header"/>
    <w:uiPriority w:val="99"/>
    <w:semiHidden/>
    <w:locked/>
    <w:rsid w:val="008F0DE1"/>
    <w:rPr>
      <w:rFonts w:ascii="Times New Roman" w:hAnsi="Times New Roman" w:cs="Times New Roman"/>
      <w:sz w:val="28"/>
      <w:szCs w:val="28"/>
    </w:rPr>
  </w:style>
  <w:style w:type="paragraph" w:styleId="Footer">
    <w:name w:val="footer"/>
    <w:basedOn w:val="Normal"/>
    <w:link w:val="FooterChar"/>
    <w:uiPriority w:val="99"/>
    <w:rsid w:val="00414647"/>
    <w:pPr>
      <w:tabs>
        <w:tab w:val="center" w:pos="4677"/>
        <w:tab w:val="right" w:pos="9355"/>
      </w:tabs>
      <w:spacing w:line="240" w:lineRule="auto"/>
    </w:pPr>
  </w:style>
  <w:style w:type="character" w:customStyle="1" w:styleId="FooterChar1">
    <w:name w:val="Footer Char1"/>
    <w:basedOn w:val="DefaultParagraphFont"/>
    <w:link w:val="Footer"/>
    <w:uiPriority w:val="99"/>
    <w:semiHidden/>
    <w:locked/>
    <w:rsid w:val="008F0DE1"/>
    <w:rPr>
      <w:rFonts w:ascii="Times New Roman" w:hAnsi="Times New Roman" w:cs="Times New Roman"/>
      <w:sz w:val="28"/>
      <w:szCs w:val="28"/>
    </w:rPr>
  </w:style>
  <w:style w:type="table" w:styleId="TableGrid">
    <w:name w:val="Table Grid"/>
    <w:basedOn w:val="TableNormal"/>
    <w:uiPriority w:val="99"/>
    <w:rsid w:val="00414647"/>
    <w:pPr>
      <w:ind w:right="420"/>
      <w:jc w:val="both"/>
    </w:pPr>
    <w:rPr>
      <w:rFonts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F79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4</Pages>
  <Words>1156</Words>
  <Characters>6595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 соглашенияо передаче полномочий по осуществлению внутреннегофинансового аудита</dc:title>
  <dc:subject/>
  <dc:creator>Кокарев Алексей Игоревич</dc:creator>
  <cp:keywords/>
  <dc:description/>
  <cp:lastModifiedBy>Kravchenko</cp:lastModifiedBy>
  <cp:revision>19</cp:revision>
  <cp:lastPrinted>2020-08-31T04:18:00Z</cp:lastPrinted>
  <dcterms:created xsi:type="dcterms:W3CDTF">2020-06-30T14:33:00Z</dcterms:created>
  <dcterms:modified xsi:type="dcterms:W3CDTF">2020-08-31T04:23:00Z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